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AB388" w14:textId="77777777" w:rsidR="00A22ABD" w:rsidRDefault="00000000">
      <w:pPr>
        <w:spacing w:after="60"/>
      </w:pPr>
      <w:r>
        <w:rPr>
          <w:b/>
          <w:bCs/>
          <w:color w:val="E37222"/>
        </w:rPr>
        <w:t>A N L E I T U N G</w:t>
      </w:r>
    </w:p>
    <w:p w14:paraId="1F5670EE" w14:textId="77777777" w:rsidR="00A22ABD" w:rsidRDefault="00000000">
      <w:pPr>
        <w:spacing w:after="80"/>
      </w:pPr>
      <w:r>
        <w:rPr>
          <w:b/>
          <w:bCs/>
          <w:sz w:val="44"/>
          <w:szCs w:val="44"/>
        </w:rPr>
        <w:t>Abiturgutachten-Generator</w:t>
      </w:r>
    </w:p>
    <w:p w14:paraId="52370C23" w14:textId="77777777" w:rsidR="00A22ABD" w:rsidRDefault="00000000">
      <w:pPr>
        <w:spacing w:after="120"/>
      </w:pPr>
      <w:r>
        <w:rPr>
          <w:i/>
          <w:iCs/>
        </w:rPr>
        <w:t>für die Abiturprüfung in den modernen Fremdsprachen (Niedersachsen)</w:t>
      </w:r>
    </w:p>
    <w:p w14:paraId="24D984F7" w14:textId="77777777" w:rsidR="00A22ABD" w:rsidRDefault="00000000">
      <w:pPr>
        <w:pBdr>
          <w:bottom w:val="single" w:sz="12" w:space="4" w:color="E37222"/>
        </w:pBdr>
        <w:spacing w:after="240"/>
      </w:pPr>
      <w:r>
        <w:t>Version 3.0 · April 2026</w:t>
      </w:r>
    </w:p>
    <w:p w14:paraId="47CEC0EF" w14:textId="77777777" w:rsidR="00A22ABD" w:rsidRDefault="00000000">
      <w:pPr>
        <w:spacing w:after="120" w:line="300" w:lineRule="auto"/>
        <w:jc w:val="both"/>
      </w:pPr>
      <w:r>
        <w:t>Der Abiturgutachten-Generator unterstützt Lehrkräfte beim Erstellen von Gutachten für Abiturklausuren in den Fächern Englisch, Französisch und Spanisch. Das Werkzeug basiert auf der seit dem Schuljahr 2025/26 zur Verfügung stehenden Vorlage des Niedersächsischen Kultusministeriums und erweitert diese um folgende Funktionen:</w:t>
      </w:r>
    </w:p>
    <w:p w14:paraId="61CC7C6B" w14:textId="77777777" w:rsidR="00A22ABD" w:rsidRDefault="00000000" w:rsidP="00DE105D">
      <w:pPr>
        <w:pStyle w:val="Listenabsatz"/>
        <w:numPr>
          <w:ilvl w:val="0"/>
          <w:numId w:val="2"/>
        </w:numPr>
        <w:spacing w:after="20" w:line="300" w:lineRule="auto"/>
        <w:ind w:left="714" w:hanging="357"/>
      </w:pPr>
      <w:r>
        <w:t>Auswahlmenüs mit den offiziellen Formulierungen aus den KMK-Bewertungsrastern für Sprache und Inhalt</w:t>
      </w:r>
    </w:p>
    <w:p w14:paraId="7CCE0EC7" w14:textId="77777777" w:rsidR="00A22ABD" w:rsidRDefault="00000000" w:rsidP="00DE105D">
      <w:pPr>
        <w:pStyle w:val="Listenabsatz"/>
        <w:numPr>
          <w:ilvl w:val="0"/>
          <w:numId w:val="2"/>
        </w:numPr>
        <w:spacing w:after="20" w:line="300" w:lineRule="auto"/>
        <w:ind w:left="714" w:hanging="357"/>
      </w:pPr>
      <w:r>
        <w:t>automatische Berechnung aller Teilnoten und der Endnote nach KMK-Notenschlüssel</w:t>
      </w:r>
    </w:p>
    <w:p w14:paraId="0819D671" w14:textId="77777777" w:rsidR="00A22ABD" w:rsidRDefault="00000000" w:rsidP="00DE105D">
      <w:pPr>
        <w:pStyle w:val="Listenabsatz"/>
        <w:numPr>
          <w:ilvl w:val="0"/>
          <w:numId w:val="2"/>
        </w:numPr>
        <w:spacing w:after="20" w:line="300" w:lineRule="auto"/>
        <w:ind w:left="714" w:hanging="357"/>
      </w:pPr>
      <w:r>
        <w:t>Live-Vorschau des fertigen Gutachtens während der Bearbeitung</w:t>
      </w:r>
    </w:p>
    <w:p w14:paraId="62446120" w14:textId="77777777" w:rsidR="00A22ABD" w:rsidRDefault="00000000" w:rsidP="00DE105D">
      <w:pPr>
        <w:pStyle w:val="Listenabsatz"/>
        <w:numPr>
          <w:ilvl w:val="0"/>
          <w:numId w:val="2"/>
        </w:numPr>
        <w:spacing w:after="20" w:line="300" w:lineRule="auto"/>
        <w:ind w:left="714" w:hanging="357"/>
      </w:pPr>
      <w:r>
        <w:t>Export als bearbeitbares Word-Dokument (.docx)</w:t>
      </w:r>
    </w:p>
    <w:p w14:paraId="744EEBAD" w14:textId="77777777" w:rsidR="00A22ABD" w:rsidRDefault="00000000" w:rsidP="00DE105D">
      <w:pPr>
        <w:pStyle w:val="Listenabsatz"/>
        <w:numPr>
          <w:ilvl w:val="0"/>
          <w:numId w:val="2"/>
        </w:numPr>
        <w:spacing w:after="20" w:line="300" w:lineRule="auto"/>
        <w:ind w:left="714" w:hanging="357"/>
      </w:pPr>
      <w:r>
        <w:t>Zwischenspeichern und Laden des Bearbeitungsstands als JSON-Datei</w:t>
      </w:r>
    </w:p>
    <w:p w14:paraId="12B45100" w14:textId="77777777" w:rsidR="00A22ABD" w:rsidRDefault="00000000" w:rsidP="00DE105D">
      <w:pPr>
        <w:pStyle w:val="Listenabsatz"/>
        <w:numPr>
          <w:ilvl w:val="0"/>
          <w:numId w:val="2"/>
        </w:numPr>
        <w:spacing w:after="20" w:line="300" w:lineRule="auto"/>
        <w:ind w:left="714" w:hanging="357"/>
      </w:pPr>
      <w:r>
        <w:t>konfigurierbare Gewichtung der Aufgaben 1/2/3 im Schreibteil</w:t>
      </w:r>
    </w:p>
    <w:p w14:paraId="2A9417F0" w14:textId="77777777" w:rsidR="00A22ABD" w:rsidRDefault="00000000" w:rsidP="00DE105D">
      <w:pPr>
        <w:pStyle w:val="Listenabsatz"/>
        <w:numPr>
          <w:ilvl w:val="0"/>
          <w:numId w:val="2"/>
        </w:numPr>
        <w:spacing w:after="20" w:line="300" w:lineRule="auto"/>
        <w:ind w:left="714" w:hanging="357"/>
      </w:pPr>
      <w:r>
        <w:t>vorgefertigte Prompts zur Unterstützung bei der Formulierung individueller Würdigungen mit KI-Werkzeugen</w:t>
      </w:r>
    </w:p>
    <w:p w14:paraId="21C6F721" w14:textId="359707AD" w:rsidR="00A22ABD" w:rsidRDefault="00000000" w:rsidP="00DE105D">
      <w:pPr>
        <w:pStyle w:val="Listenabsatz"/>
        <w:numPr>
          <w:ilvl w:val="0"/>
          <w:numId w:val="2"/>
        </w:numPr>
        <w:spacing w:after="20" w:line="300" w:lineRule="auto"/>
        <w:ind w:left="714" w:hanging="357"/>
      </w:pPr>
      <w:r>
        <w:t>Installation als Web-App auf iPad, Android-Tablets, Windows-PC und Mac mit vollständiger Offline-Funktion (neu in v3.0)</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5FB9D29D"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690376DE" w14:textId="77777777" w:rsidR="00A22ABD" w:rsidRDefault="00000000">
            <w:pPr>
              <w:spacing w:after="80"/>
            </w:pPr>
            <w:r>
              <w:rPr>
                <w:rFonts w:ascii="Cambria Math" w:hAnsi="Cambria Math" w:cs="Cambria Math"/>
                <w:b/>
                <w:bCs/>
                <w:color w:val="E37222"/>
              </w:rPr>
              <w:t>▸</w:t>
            </w:r>
            <w:r>
              <w:rPr>
                <w:b/>
                <w:bCs/>
                <w:color w:val="E37222"/>
              </w:rPr>
              <w:t xml:space="preserve"> </w:t>
            </w:r>
            <w:r>
              <w:rPr>
                <w:b/>
                <w:bCs/>
              </w:rPr>
              <w:t>Hinweis</w:t>
            </w:r>
          </w:p>
          <w:p w14:paraId="44F4003C" w14:textId="77777777" w:rsidR="00A22ABD" w:rsidRDefault="00000000">
            <w:pPr>
              <w:spacing w:line="300" w:lineRule="auto"/>
            </w:pPr>
            <w:r>
              <w:t>Das Werkzeug läuft vollständig im Browser. Es werden keine Daten an externe Server übertragen. Alle Eingaben bleiben auf dem eigenen Rechner.</w:t>
            </w:r>
          </w:p>
        </w:tc>
      </w:tr>
    </w:tbl>
    <w:p w14:paraId="76D1C28C" w14:textId="77777777" w:rsidR="00A22ABD" w:rsidRDefault="00000000">
      <w:pPr>
        <w:spacing w:before="360" w:after="120"/>
      </w:pPr>
      <w:r>
        <w:rPr>
          <w:b/>
          <w:bCs/>
          <w:sz w:val="28"/>
          <w:szCs w:val="28"/>
        </w:rPr>
        <w:t>Inhalt</w:t>
      </w:r>
    </w:p>
    <w:p w14:paraId="68217C2E" w14:textId="77777777" w:rsidR="00A22ABD" w:rsidRDefault="00000000">
      <w:pPr>
        <w:tabs>
          <w:tab w:val="left" w:pos="480"/>
        </w:tabs>
        <w:spacing w:after="60"/>
      </w:pPr>
      <w:r>
        <w:rPr>
          <w:b/>
          <w:bCs/>
        </w:rPr>
        <w:t>1</w:t>
      </w:r>
      <w:r>
        <w:rPr>
          <w:b/>
          <w:bCs/>
        </w:rPr>
        <w:tab/>
      </w:r>
      <w:r>
        <w:t>Installation als App (empfohlen, neu in v3.0)</w:t>
      </w:r>
    </w:p>
    <w:p w14:paraId="67A5CC59" w14:textId="77777777" w:rsidR="00A22ABD" w:rsidRDefault="00000000">
      <w:pPr>
        <w:tabs>
          <w:tab w:val="left" w:pos="480"/>
        </w:tabs>
        <w:spacing w:after="60"/>
      </w:pPr>
      <w:r>
        <w:rPr>
          <w:b/>
          <w:bCs/>
        </w:rPr>
        <w:t>2</w:t>
      </w:r>
      <w:r>
        <w:rPr>
          <w:b/>
          <w:bCs/>
        </w:rPr>
        <w:tab/>
      </w:r>
      <w:r>
        <w:t>Klassische Offline-Nutzung</w:t>
      </w:r>
    </w:p>
    <w:p w14:paraId="5E9D51CA" w14:textId="77777777" w:rsidR="00A22ABD" w:rsidRDefault="00000000">
      <w:pPr>
        <w:tabs>
          <w:tab w:val="left" w:pos="480"/>
        </w:tabs>
        <w:spacing w:after="60"/>
      </w:pPr>
      <w:r>
        <w:rPr>
          <w:b/>
          <w:bCs/>
        </w:rPr>
        <w:t>3</w:t>
      </w:r>
      <w:r>
        <w:rPr>
          <w:b/>
          <w:bCs/>
        </w:rPr>
        <w:tab/>
      </w:r>
      <w:r>
        <w:t>Aufbau der Oberfläche</w:t>
      </w:r>
    </w:p>
    <w:p w14:paraId="54579BF5" w14:textId="77777777" w:rsidR="00A22ABD" w:rsidRDefault="00000000">
      <w:pPr>
        <w:tabs>
          <w:tab w:val="left" w:pos="480"/>
        </w:tabs>
        <w:spacing w:after="60"/>
      </w:pPr>
      <w:r>
        <w:rPr>
          <w:b/>
          <w:bCs/>
        </w:rPr>
        <w:t>4</w:t>
      </w:r>
      <w:r>
        <w:rPr>
          <w:b/>
          <w:bCs/>
        </w:rPr>
        <w:tab/>
      </w:r>
      <w:r>
        <w:t>Bearbeitungsablauf in sechs Schritten</w:t>
      </w:r>
    </w:p>
    <w:p w14:paraId="4006DD39" w14:textId="77777777" w:rsidR="00A22ABD" w:rsidRDefault="00000000">
      <w:pPr>
        <w:tabs>
          <w:tab w:val="left" w:pos="480"/>
        </w:tabs>
        <w:spacing w:after="60"/>
      </w:pPr>
      <w:r>
        <w:rPr>
          <w:b/>
          <w:bCs/>
        </w:rPr>
        <w:t>5</w:t>
      </w:r>
      <w:r>
        <w:rPr>
          <w:b/>
          <w:bCs/>
        </w:rPr>
        <w:tab/>
      </w:r>
      <w:r>
        <w:t>Die Auswahlmenüs verstehen</w:t>
      </w:r>
    </w:p>
    <w:p w14:paraId="626197AA" w14:textId="77777777" w:rsidR="00A22ABD" w:rsidRDefault="00000000">
      <w:pPr>
        <w:tabs>
          <w:tab w:val="left" w:pos="480"/>
        </w:tabs>
        <w:spacing w:after="60"/>
      </w:pPr>
      <w:r>
        <w:rPr>
          <w:b/>
          <w:bCs/>
        </w:rPr>
        <w:t>6</w:t>
      </w:r>
      <w:r>
        <w:rPr>
          <w:b/>
          <w:bCs/>
        </w:rPr>
        <w:tab/>
      </w:r>
      <w:r>
        <w:t>Aufgabe 3: Nummer und Typ wählen</w:t>
      </w:r>
    </w:p>
    <w:p w14:paraId="55044B4B" w14:textId="77777777" w:rsidR="00A22ABD" w:rsidRDefault="00000000">
      <w:pPr>
        <w:tabs>
          <w:tab w:val="left" w:pos="480"/>
        </w:tabs>
        <w:spacing w:after="60"/>
      </w:pPr>
      <w:r>
        <w:rPr>
          <w:b/>
          <w:bCs/>
        </w:rPr>
        <w:t>7</w:t>
      </w:r>
      <w:r>
        <w:rPr>
          <w:b/>
          <w:bCs/>
        </w:rPr>
        <w:tab/>
      </w:r>
      <w:r>
        <w:t>Gewichtung der Schreibteilaufgaben</w:t>
      </w:r>
    </w:p>
    <w:p w14:paraId="20C963B9" w14:textId="77777777" w:rsidR="00A22ABD" w:rsidRDefault="00000000">
      <w:pPr>
        <w:tabs>
          <w:tab w:val="left" w:pos="480"/>
        </w:tabs>
        <w:spacing w:after="60"/>
      </w:pPr>
      <w:r>
        <w:rPr>
          <w:b/>
          <w:bCs/>
        </w:rPr>
        <w:t>8</w:t>
      </w:r>
      <w:r>
        <w:rPr>
          <w:b/>
          <w:bCs/>
        </w:rPr>
        <w:tab/>
      </w:r>
      <w:r>
        <w:t>Zwischenspeichern und Laden</w:t>
      </w:r>
    </w:p>
    <w:p w14:paraId="69038420" w14:textId="77777777" w:rsidR="00A22ABD" w:rsidRDefault="00000000">
      <w:pPr>
        <w:tabs>
          <w:tab w:val="left" w:pos="480"/>
        </w:tabs>
        <w:spacing w:after="60"/>
      </w:pPr>
      <w:r>
        <w:rPr>
          <w:b/>
          <w:bCs/>
        </w:rPr>
        <w:t>9</w:t>
      </w:r>
      <w:r>
        <w:rPr>
          <w:b/>
          <w:bCs/>
        </w:rPr>
        <w:tab/>
      </w:r>
      <w:r>
        <w:t>Punktevergabe und Notenberechnung</w:t>
      </w:r>
    </w:p>
    <w:p w14:paraId="46F0AA3F" w14:textId="77777777" w:rsidR="00A22ABD" w:rsidRDefault="00000000">
      <w:pPr>
        <w:tabs>
          <w:tab w:val="left" w:pos="480"/>
        </w:tabs>
        <w:spacing w:after="60"/>
      </w:pPr>
      <w:r>
        <w:rPr>
          <w:b/>
          <w:bCs/>
        </w:rPr>
        <w:t>10</w:t>
      </w:r>
      <w:r>
        <w:rPr>
          <w:b/>
          <w:bCs/>
        </w:rPr>
        <w:tab/>
      </w:r>
      <w:r>
        <w:t>Unterstützung beim Ausformulieren der Freitextfelder</w:t>
      </w:r>
    </w:p>
    <w:p w14:paraId="19C01EF0" w14:textId="77777777" w:rsidR="00A22ABD" w:rsidRDefault="00000000">
      <w:pPr>
        <w:tabs>
          <w:tab w:val="left" w:pos="480"/>
        </w:tabs>
        <w:spacing w:after="60"/>
      </w:pPr>
      <w:r>
        <w:rPr>
          <w:b/>
          <w:bCs/>
        </w:rPr>
        <w:t>11</w:t>
      </w:r>
      <w:r>
        <w:rPr>
          <w:b/>
          <w:bCs/>
        </w:rPr>
        <w:tab/>
      </w:r>
      <w:r>
        <w:t>Word-Export</w:t>
      </w:r>
    </w:p>
    <w:p w14:paraId="7A6F8DD0" w14:textId="77777777" w:rsidR="00A22ABD" w:rsidRDefault="00000000">
      <w:pPr>
        <w:tabs>
          <w:tab w:val="left" w:pos="480"/>
        </w:tabs>
        <w:spacing w:after="60"/>
      </w:pPr>
      <w:r>
        <w:rPr>
          <w:b/>
          <w:bCs/>
        </w:rPr>
        <w:t>12</w:t>
      </w:r>
      <w:r>
        <w:rPr>
          <w:b/>
          <w:bCs/>
        </w:rPr>
        <w:tab/>
      </w:r>
      <w:r>
        <w:t>Häufige Fragen</w:t>
      </w:r>
    </w:p>
    <w:p w14:paraId="24A06059" w14:textId="77777777" w:rsidR="00A22ABD" w:rsidRDefault="00000000">
      <w:pPr>
        <w:tabs>
          <w:tab w:val="left" w:pos="480"/>
        </w:tabs>
        <w:spacing w:after="60"/>
      </w:pPr>
      <w:r>
        <w:rPr>
          <w:b/>
          <w:bCs/>
        </w:rPr>
        <w:t>13</w:t>
      </w:r>
      <w:r>
        <w:rPr>
          <w:b/>
          <w:bCs/>
        </w:rPr>
        <w:tab/>
      </w:r>
      <w:r>
        <w:t>Datenschutz und Speicherung</w:t>
      </w:r>
    </w:p>
    <w:p w14:paraId="379CEC82" w14:textId="77777777" w:rsidR="00A22ABD" w:rsidRDefault="00000000">
      <w:pPr>
        <w:pBdr>
          <w:bottom w:val="single" w:sz="12" w:space="4" w:color="E37222"/>
        </w:pBdr>
        <w:tabs>
          <w:tab w:val="left" w:pos="720"/>
        </w:tabs>
        <w:spacing w:before="360" w:after="60"/>
      </w:pPr>
      <w:r>
        <w:rPr>
          <w:b/>
          <w:bCs/>
          <w:sz w:val="32"/>
          <w:szCs w:val="32"/>
        </w:rPr>
        <w:lastRenderedPageBreak/>
        <w:t>1</w:t>
      </w:r>
      <w:r>
        <w:rPr>
          <w:b/>
          <w:bCs/>
          <w:sz w:val="32"/>
          <w:szCs w:val="32"/>
        </w:rPr>
        <w:tab/>
        <w:t>Installation als App (empfohlen, neu in v3.0)</w:t>
      </w:r>
    </w:p>
    <w:p w14:paraId="1A29F738" w14:textId="77777777" w:rsidR="00A22ABD" w:rsidRDefault="00000000">
      <w:pPr>
        <w:spacing w:after="120" w:line="300" w:lineRule="auto"/>
        <w:jc w:val="both"/>
      </w:pPr>
      <w:r>
        <w:t>Ab Version 3.0 lässt sich das Werkzeug auf nahezu jedem Gerät als eigenständige App installieren. Nach der Installation startet der Generator in einem eigenen Fenster ohne Browserleisten, erhält ein eigenes Icon auf dem Startbildschirm oder im Dock und funktioniert ohne Internetverbindung. Die Installation ist in wenigen Sekunden erledigt und wird auf dem Gerät nur einmal durchgeführt.</w:t>
      </w:r>
    </w:p>
    <w:p w14:paraId="56FDD777" w14:textId="77777777" w:rsidR="00A22ABD" w:rsidRDefault="00000000">
      <w:pPr>
        <w:spacing w:after="120" w:line="300" w:lineRule="auto"/>
        <w:jc w:val="both"/>
      </w:pPr>
      <w:r>
        <w:t>Unter welcher Adresse das Werkzeug aufgerufen wird, hängt davon ab, wo es bereitgestellt wurde. Die folgende Beschreibung geht davon aus, dass die Adresse bereits geöffnet wurde und das Werkzeug im Browser sichtbar ist.</w:t>
      </w:r>
    </w:p>
    <w:p w14:paraId="633FCBF1" w14:textId="77777777" w:rsidR="00A22ABD" w:rsidRDefault="00000000">
      <w:pPr>
        <w:spacing w:before="240" w:after="80"/>
      </w:pPr>
      <w:r>
        <w:rPr>
          <w:b/>
          <w:bCs/>
          <w:sz w:val="26"/>
          <w:szCs w:val="26"/>
        </w:rPr>
        <w:t>Auf dem iPad oder iPhone (Safari)</w:t>
      </w:r>
    </w:p>
    <w:p w14:paraId="217FC2FB" w14:textId="77777777" w:rsidR="00A22ABD" w:rsidRDefault="00000000">
      <w:pPr>
        <w:pStyle w:val="Listenabsatz"/>
        <w:numPr>
          <w:ilvl w:val="0"/>
          <w:numId w:val="3"/>
        </w:numPr>
        <w:spacing w:after="80" w:line="300" w:lineRule="auto"/>
      </w:pPr>
      <w:r>
        <w:t>Tippen Sie in Safari unten (iPhone) oder oben (iPad) auf das Teilen-Symbol, also das Quadrat mit dem Pfeil nach oben.</w:t>
      </w:r>
    </w:p>
    <w:p w14:paraId="3D67D646" w14:textId="77777777" w:rsidR="00A22ABD" w:rsidRDefault="00000000">
      <w:pPr>
        <w:pStyle w:val="Listenabsatz"/>
        <w:numPr>
          <w:ilvl w:val="0"/>
          <w:numId w:val="3"/>
        </w:numPr>
        <w:spacing w:after="80" w:line="300" w:lineRule="auto"/>
      </w:pPr>
      <w:r>
        <w:t>Scrollen Sie in der Liste nach unten und wählen Sie „Zum Home-Bildschirm“.</w:t>
      </w:r>
    </w:p>
    <w:p w14:paraId="53941305" w14:textId="77777777" w:rsidR="00A22ABD" w:rsidRDefault="00000000">
      <w:pPr>
        <w:pStyle w:val="Listenabsatz"/>
        <w:numPr>
          <w:ilvl w:val="0"/>
          <w:numId w:val="3"/>
        </w:numPr>
        <w:spacing w:after="80" w:line="300" w:lineRule="auto"/>
      </w:pPr>
      <w:r>
        <w:t>Bestätigen Sie den vorgeschlagenen Namen (oder passen Sie ihn an) und tippen Sie oben rechts auf „Hinzufügen“.</w:t>
      </w:r>
    </w:p>
    <w:p w14:paraId="72AA8D9E" w14:textId="77777777" w:rsidR="00A22ABD" w:rsidRDefault="00000000">
      <w:pPr>
        <w:pStyle w:val="Listenabsatz"/>
        <w:numPr>
          <w:ilvl w:val="0"/>
          <w:numId w:val="3"/>
        </w:numPr>
        <w:spacing w:after="80" w:line="300" w:lineRule="auto"/>
      </w:pPr>
      <w:r>
        <w:t>Auf dem Home-Bildschirm erscheint nun ein eigenes App-Icon. Beim nächsten Start öffnet der Generator sich im Vollbildmodus, ohne Safari-Oberfläche, und funktioniert auch ohne Internet.</w:t>
      </w:r>
    </w:p>
    <w:p w14:paraId="1407C855" w14:textId="77777777" w:rsidR="00A22ABD" w:rsidRDefault="00000000">
      <w:pPr>
        <w:spacing w:before="240" w:after="80"/>
      </w:pPr>
      <w:r>
        <w:rPr>
          <w:b/>
          <w:bCs/>
          <w:sz w:val="26"/>
          <w:szCs w:val="26"/>
        </w:rPr>
        <w:t>Auf Android-Tablets und -Smartphones (Chrome)</w:t>
      </w:r>
    </w:p>
    <w:p w14:paraId="099D27F2" w14:textId="77777777" w:rsidR="00A22ABD" w:rsidRDefault="00000000">
      <w:pPr>
        <w:pStyle w:val="Listenabsatz"/>
        <w:numPr>
          <w:ilvl w:val="0"/>
          <w:numId w:val="4"/>
        </w:numPr>
        <w:spacing w:after="80" w:line="300" w:lineRule="auto"/>
      </w:pPr>
      <w:r>
        <w:t>Tippen Sie oben rechts auf das Menü (drei Punkte).</w:t>
      </w:r>
    </w:p>
    <w:p w14:paraId="6D1211D4" w14:textId="77777777" w:rsidR="00A22ABD" w:rsidRDefault="00000000">
      <w:pPr>
        <w:pStyle w:val="Listenabsatz"/>
        <w:numPr>
          <w:ilvl w:val="0"/>
          <w:numId w:val="4"/>
        </w:numPr>
        <w:spacing w:after="80" w:line="300" w:lineRule="auto"/>
      </w:pPr>
      <w:r>
        <w:t>Wählen Sie „App installieren“ oder „Zum Startbildschirm hinzufügen“.</w:t>
      </w:r>
    </w:p>
    <w:p w14:paraId="6942E494" w14:textId="77777777" w:rsidR="00A22ABD" w:rsidRDefault="00000000">
      <w:pPr>
        <w:pStyle w:val="Listenabsatz"/>
        <w:numPr>
          <w:ilvl w:val="0"/>
          <w:numId w:val="4"/>
        </w:numPr>
        <w:spacing w:after="80" w:line="300" w:lineRule="auto"/>
      </w:pPr>
      <w:r>
        <w:t>Bestätigen Sie die Installation. Das App-Icon erscheint sowohl auf dem Startbildschirm als auch in der App-Übersicht.</w:t>
      </w:r>
    </w:p>
    <w:p w14:paraId="4647F7A1" w14:textId="77777777" w:rsidR="00A22ABD" w:rsidRDefault="00000000">
      <w:pPr>
        <w:spacing w:before="240" w:after="80"/>
      </w:pPr>
      <w:r>
        <w:rPr>
          <w:b/>
          <w:bCs/>
          <w:sz w:val="26"/>
          <w:szCs w:val="26"/>
        </w:rPr>
        <w:t>Auf Windows-PC und Mac (Chrome, Edge)</w:t>
      </w:r>
    </w:p>
    <w:p w14:paraId="51F3AA9D" w14:textId="77777777" w:rsidR="00A22ABD" w:rsidRDefault="00000000">
      <w:pPr>
        <w:pStyle w:val="Listenabsatz"/>
        <w:numPr>
          <w:ilvl w:val="0"/>
          <w:numId w:val="5"/>
        </w:numPr>
        <w:spacing w:after="80" w:line="300" w:lineRule="auto"/>
      </w:pPr>
      <w:r>
        <w:t>In Chrome oder Edge erscheint bei geöffneter Seite rechts in der Adressleiste ein kleines Installations-Symbol (ein Monitor mit Pfeil).</w:t>
      </w:r>
    </w:p>
    <w:p w14:paraId="0BE51BAF" w14:textId="77777777" w:rsidR="00A22ABD" w:rsidRDefault="00000000">
      <w:pPr>
        <w:pStyle w:val="Listenabsatz"/>
        <w:numPr>
          <w:ilvl w:val="0"/>
          <w:numId w:val="5"/>
        </w:numPr>
        <w:spacing w:after="80" w:line="300" w:lineRule="auto"/>
      </w:pPr>
      <w:r>
        <w:t>Klicken Sie das Symbol an und bestätigen Sie mit „Installieren“. Alternativ: über das Drei-Punkte-Menü oben rechts den Eintrag „Abiturgutachten-Generator installieren“ auswählen.</w:t>
      </w:r>
    </w:p>
    <w:p w14:paraId="6F63C976" w14:textId="77777777" w:rsidR="00A22ABD" w:rsidRDefault="00000000">
      <w:pPr>
        <w:pStyle w:val="Listenabsatz"/>
        <w:numPr>
          <w:ilvl w:val="0"/>
          <w:numId w:val="5"/>
        </w:numPr>
        <w:spacing w:after="80" w:line="300" w:lineRule="auto"/>
      </w:pPr>
      <w:r>
        <w:t>Nach der Installation startet das Werkzeug in einem eigenen Fenster ohne Browser-Tabs. Ein App-Icon wird in der Taskleiste (Windows) bzw. im Launchpad (Mac) angelegt.</w:t>
      </w:r>
    </w:p>
    <w:p w14:paraId="6234993E" w14:textId="77777777" w:rsidR="00A22ABD" w:rsidRDefault="00000000">
      <w:pPr>
        <w:spacing w:before="240" w:after="80"/>
      </w:pPr>
      <w:r>
        <w:rPr>
          <w:b/>
          <w:bCs/>
          <w:sz w:val="26"/>
          <w:szCs w:val="26"/>
        </w:rPr>
        <w:t>Auf dem Mac mit Safari (ab macOS 14 Sonoma)</w:t>
      </w:r>
    </w:p>
    <w:p w14:paraId="16E7D696" w14:textId="77777777" w:rsidR="00A22ABD" w:rsidRDefault="00000000">
      <w:pPr>
        <w:pStyle w:val="Listenabsatz"/>
        <w:numPr>
          <w:ilvl w:val="0"/>
          <w:numId w:val="6"/>
        </w:numPr>
        <w:spacing w:after="80" w:line="300" w:lineRule="auto"/>
      </w:pPr>
      <w:r>
        <w:t>Öffnen Sie das Werkzeug in Safari.</w:t>
      </w:r>
    </w:p>
    <w:p w14:paraId="57200405" w14:textId="77777777" w:rsidR="00A22ABD" w:rsidRDefault="00000000">
      <w:pPr>
        <w:pStyle w:val="Listenabsatz"/>
        <w:numPr>
          <w:ilvl w:val="0"/>
          <w:numId w:val="6"/>
        </w:numPr>
        <w:spacing w:after="80" w:line="300" w:lineRule="auto"/>
      </w:pPr>
      <w:r>
        <w:t>Wählen Sie im Menü „Ablage“ den Eintrag „Zum Dock hinzufügen“.</w:t>
      </w:r>
    </w:p>
    <w:p w14:paraId="02471142" w14:textId="77777777" w:rsidR="00A22ABD" w:rsidRDefault="00000000">
      <w:pPr>
        <w:pStyle w:val="Listenabsatz"/>
        <w:numPr>
          <w:ilvl w:val="0"/>
          <w:numId w:val="6"/>
        </w:numPr>
        <w:spacing w:after="80" w:line="300" w:lineRule="auto"/>
      </w:pPr>
      <w:r>
        <w:t>Bestätigen Sie die Vorgaben. Ein Icon erscheint anschließend im Dock.</w:t>
      </w:r>
    </w:p>
    <w:p w14:paraId="7B6DB17E" w14:textId="77777777" w:rsidR="00A22ABD" w:rsidRDefault="00000000">
      <w:pPr>
        <w:spacing w:after="120" w:line="300" w:lineRule="auto"/>
        <w:jc w:val="both"/>
      </w:pPr>
      <w:r>
        <w:lastRenderedPageBreak/>
        <w:t>Unter älteren macOS-Versionen als Sonoma unterstützt Safari diese Funktion nicht. In diesem Fall lässt sich das Werkzeug entweder mit Chrome oder Edge installieren oder wie gewohnt im Browser verwenden.</w:t>
      </w:r>
    </w:p>
    <w:p w14:paraId="3A3F2889" w14:textId="77777777" w:rsidR="00A22ABD" w:rsidRDefault="00000000">
      <w:pPr>
        <w:spacing w:before="240" w:after="80"/>
      </w:pPr>
      <w:r>
        <w:rPr>
          <w:b/>
          <w:bCs/>
          <w:sz w:val="26"/>
          <w:szCs w:val="26"/>
        </w:rPr>
        <w:t>Mit Firefox</w:t>
      </w:r>
    </w:p>
    <w:p w14:paraId="2402E09F" w14:textId="77777777" w:rsidR="00A22ABD" w:rsidRDefault="00000000">
      <w:pPr>
        <w:spacing w:after="120" w:line="300" w:lineRule="auto"/>
        <w:jc w:val="both"/>
      </w:pPr>
      <w:r>
        <w:t>Firefox unterstützt das Installieren von Web-Apps bewusst nicht. Das Werkzeug funktioniert in Firefox dennoch einwandfrei im regulären Browser-Fenster; der einzige Unterschied ist, dass kein App-Icon angelegt wird. Für die Nutzung ohne Installation ist dies völlig ausreichend.</w:t>
      </w:r>
    </w:p>
    <w:p w14:paraId="1D6FE6DE"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38CDD6C7"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68F8817A" w14:textId="77777777" w:rsidR="00A22ABD" w:rsidRDefault="00000000">
            <w:pPr>
              <w:spacing w:after="80"/>
            </w:pPr>
            <w:r>
              <w:rPr>
                <w:b/>
                <w:bCs/>
                <w:color w:val="E37222"/>
              </w:rPr>
              <w:t xml:space="preserve">▸ </w:t>
            </w:r>
            <w:r>
              <w:rPr>
                <w:b/>
                <w:bCs/>
              </w:rPr>
              <w:t>Hinweis</w:t>
            </w:r>
          </w:p>
          <w:p w14:paraId="208C1351" w14:textId="77777777" w:rsidR="00A22ABD" w:rsidRDefault="00000000">
            <w:pPr>
              <w:spacing w:line="300" w:lineRule="auto"/>
            </w:pPr>
            <w:r>
              <w:t>Nach der ersten Installation lädt das Werkzeug alle nötigen Ressourcen einmalig herunter und speichert sie lokal. Ab dem zweiten Start funktioniert die App auch ohne Internetverbindung. Updates werden beim nächsten Start mit bestehender Internetverbindung automatisch übernommen.</w:t>
            </w:r>
          </w:p>
        </w:tc>
      </w:tr>
    </w:tbl>
    <w:p w14:paraId="4BB56DA7" w14:textId="77777777" w:rsidR="00A22ABD" w:rsidRDefault="00000000">
      <w:pPr>
        <w:spacing w:before="240" w:after="80"/>
      </w:pPr>
      <w:r>
        <w:rPr>
          <w:b/>
          <w:bCs/>
          <w:sz w:val="26"/>
          <w:szCs w:val="26"/>
        </w:rPr>
        <w:t>Wenn das Icon nicht wie erwartet erscheint</w:t>
      </w:r>
    </w:p>
    <w:p w14:paraId="0A3C85F3" w14:textId="77777777" w:rsidR="00A22ABD" w:rsidRDefault="00000000">
      <w:pPr>
        <w:spacing w:after="120" w:line="300" w:lineRule="auto"/>
        <w:jc w:val="both"/>
      </w:pPr>
      <w:r>
        <w:t>Gelegentlich zeigt Safari auf dem iPad zunächst ein Platzhalter-Icon statt des eigentlichen App-Icons an. In diesem Fall einmal die Safari-Verlaufs- und Webseitendaten löschen und die Installation wiederholen. Das Icon wird dann korrekt übernommen.</w:t>
      </w:r>
    </w:p>
    <w:p w14:paraId="4EEB6C6E" w14:textId="77777777" w:rsidR="00A22ABD" w:rsidRDefault="00000000">
      <w:pPr>
        <w:pBdr>
          <w:bottom w:val="single" w:sz="12" w:space="4" w:color="E37222"/>
        </w:pBdr>
        <w:tabs>
          <w:tab w:val="left" w:pos="720"/>
        </w:tabs>
        <w:spacing w:before="360" w:after="60"/>
      </w:pPr>
      <w:r>
        <w:rPr>
          <w:b/>
          <w:bCs/>
          <w:sz w:val="32"/>
          <w:szCs w:val="32"/>
        </w:rPr>
        <w:t>2</w:t>
      </w:r>
      <w:r>
        <w:rPr>
          <w:b/>
          <w:bCs/>
          <w:sz w:val="32"/>
          <w:szCs w:val="32"/>
        </w:rPr>
        <w:tab/>
        <w:t>Klassische Offline-Nutzung</w:t>
      </w:r>
    </w:p>
    <w:p w14:paraId="38AB97CC" w14:textId="77777777" w:rsidR="00A22ABD" w:rsidRDefault="00000000">
      <w:pPr>
        <w:spacing w:after="120" w:line="300" w:lineRule="auto"/>
        <w:jc w:val="both"/>
      </w:pPr>
      <w:r>
        <w:t>Alternativ zur Installation als Web-App lässt sich das Werkzeug auch als einzelne HTML-Datei herunterladen und lokal öffnen. Diese Variante ist insbesondere dann sinnvoll, wenn keine Internetverbindung zum Download zur Verfügung steht oder wenn das Werkzeug über eine längere Zeit ohne zwischenzeitliche Updates auf einem bestimmten Gerät verwendet werden soll.</w:t>
      </w:r>
    </w:p>
    <w:p w14:paraId="29EB2CCD" w14:textId="77777777" w:rsidR="00A22ABD" w:rsidRDefault="00000000">
      <w:pPr>
        <w:spacing w:before="240" w:after="80"/>
      </w:pPr>
      <w:r>
        <w:rPr>
          <w:b/>
          <w:bCs/>
          <w:sz w:val="26"/>
          <w:szCs w:val="26"/>
        </w:rPr>
        <w:t>Inbetriebnahme</w:t>
      </w:r>
    </w:p>
    <w:p w14:paraId="3E227716" w14:textId="77777777" w:rsidR="00A22ABD" w:rsidRDefault="00000000">
      <w:pPr>
        <w:pStyle w:val="Listenabsatz"/>
        <w:numPr>
          <w:ilvl w:val="0"/>
          <w:numId w:val="7"/>
        </w:numPr>
        <w:spacing w:after="80" w:line="300" w:lineRule="auto"/>
      </w:pPr>
      <w:r>
        <w:t>Speichern Sie die Datei Abiturgutachten_Generator_NDS.html an einem Ort Ihrer Wahl auf Ihrem Rechner.</w:t>
      </w:r>
    </w:p>
    <w:p w14:paraId="4B3F4CD3" w14:textId="77777777" w:rsidR="00A22ABD" w:rsidRDefault="00000000">
      <w:pPr>
        <w:pStyle w:val="Listenabsatz"/>
        <w:numPr>
          <w:ilvl w:val="0"/>
          <w:numId w:val="7"/>
        </w:numPr>
        <w:spacing w:after="80" w:line="300" w:lineRule="auto"/>
      </w:pPr>
      <w:r>
        <w:t>Öffnen Sie die Datei per Doppelklick. Sie wird in Ihrem Standard-Browser dargestellt.</w:t>
      </w:r>
    </w:p>
    <w:p w14:paraId="56731F94" w14:textId="77777777" w:rsidR="00A22ABD" w:rsidRDefault="00000000">
      <w:pPr>
        <w:pStyle w:val="Listenabsatz"/>
        <w:numPr>
          <w:ilvl w:val="0"/>
          <w:numId w:val="7"/>
        </w:numPr>
        <w:spacing w:after="80" w:line="300" w:lineRule="auto"/>
      </w:pPr>
      <w:r>
        <w:t>Beim ersten Start wird einmalig eine kleine Stildatei (Tailwind CSS) aus dem Internet nachgeladen, sofern eine Verbindung besteht. Anschließend funktioniert das Werkzeug auch ohne Internetverbindung.</w:t>
      </w:r>
    </w:p>
    <w:p w14:paraId="198F644F"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75433E2C"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2D07E1A0" w14:textId="77777777" w:rsidR="00A22ABD" w:rsidRDefault="00000000">
            <w:pPr>
              <w:spacing w:after="80"/>
            </w:pPr>
            <w:r>
              <w:rPr>
                <w:b/>
                <w:bCs/>
                <w:color w:val="E37222"/>
              </w:rPr>
              <w:t xml:space="preserve">▸ </w:t>
            </w:r>
            <w:r>
              <w:rPr>
                <w:b/>
                <w:bCs/>
              </w:rPr>
              <w:t>Wichtig vor dem Doppelklick</w:t>
            </w:r>
          </w:p>
          <w:p w14:paraId="22677013" w14:textId="77777777" w:rsidR="00A22ABD" w:rsidRDefault="00000000">
            <w:pPr>
              <w:spacing w:line="300" w:lineRule="auto"/>
            </w:pPr>
            <w:r>
              <w:t>Öffnen Sie die Datei nicht direkt aus einem E-Mail-Anhang heraus, sondern speichern Sie sie zunächst lokal ab. Manche E-Mail-Programme öffnen HTML-Dateien in einer eingeschränkten Umgebung, in der das Werkzeug nicht vollständig arbeiten kann.</w:t>
            </w:r>
          </w:p>
        </w:tc>
      </w:tr>
    </w:tbl>
    <w:p w14:paraId="2FB523CF" w14:textId="77777777" w:rsidR="00A22ABD" w:rsidRDefault="00000000">
      <w:pPr>
        <w:spacing w:before="240" w:after="80"/>
      </w:pPr>
      <w:r>
        <w:rPr>
          <w:b/>
          <w:bCs/>
          <w:sz w:val="26"/>
          <w:szCs w:val="26"/>
        </w:rPr>
        <w:lastRenderedPageBreak/>
        <w:t>Empfohlene Browser</w:t>
      </w:r>
    </w:p>
    <w:p w14:paraId="532B7F8F" w14:textId="77777777" w:rsidR="00A22ABD" w:rsidRDefault="00000000">
      <w:pPr>
        <w:spacing w:after="120" w:line="300" w:lineRule="auto"/>
        <w:jc w:val="both"/>
      </w:pPr>
      <w:r>
        <w:t>Das Werkzeug wurde mit aktuellen Versionen von Mozilla Firefox, Google Chrome, Microsoft Edge und Apple Safari getestet. Auch Tablets (iPad, Android) sind nutzbar; auf Mobilgeräten empfiehlt sich die Querformat-Ansicht.</w:t>
      </w:r>
    </w:p>
    <w:p w14:paraId="46C9761A" w14:textId="77777777" w:rsidR="00A22ABD" w:rsidRDefault="00000000">
      <w:pPr>
        <w:pBdr>
          <w:bottom w:val="single" w:sz="12" w:space="4" w:color="E37222"/>
        </w:pBdr>
        <w:tabs>
          <w:tab w:val="left" w:pos="720"/>
        </w:tabs>
        <w:spacing w:before="360" w:after="60"/>
      </w:pPr>
      <w:r>
        <w:rPr>
          <w:b/>
          <w:bCs/>
          <w:sz w:val="32"/>
          <w:szCs w:val="32"/>
        </w:rPr>
        <w:t>3</w:t>
      </w:r>
      <w:r>
        <w:rPr>
          <w:b/>
          <w:bCs/>
          <w:sz w:val="32"/>
          <w:szCs w:val="32"/>
        </w:rPr>
        <w:tab/>
        <w:t>Aufbau der Oberfläche</w:t>
      </w:r>
    </w:p>
    <w:p w14:paraId="39C4A587" w14:textId="77777777" w:rsidR="00A22ABD" w:rsidRDefault="00000000">
      <w:pPr>
        <w:spacing w:after="120" w:line="300" w:lineRule="auto"/>
        <w:jc w:val="both"/>
      </w:pPr>
      <w:r>
        <w:t>Die Oberfläche gliedert sich in drei Bereiche:</w:t>
      </w:r>
    </w:p>
    <w:p w14:paraId="480EFCF7" w14:textId="77777777" w:rsidR="00A22ABD" w:rsidRDefault="00000000">
      <w:pPr>
        <w:spacing w:after="120" w:line="300" w:lineRule="auto"/>
        <w:jc w:val="both"/>
      </w:pPr>
      <w:r>
        <w:rPr>
          <w:b/>
          <w:bCs/>
        </w:rPr>
        <w:t xml:space="preserve">Kopfleiste (oben). </w:t>
      </w:r>
      <w:r>
        <w:t>Enthält links das Schullogo und den Werkzeugtitel, rechts die Schaltflächen „Neu“ (Eingaben löschen), „Drucken“ (Browser-Druckdialog), „Speichern“, „Laden“ und „Word-Datei“ (Export als .docx).</w:t>
      </w:r>
    </w:p>
    <w:p w14:paraId="020B702B" w14:textId="77777777" w:rsidR="00A22ABD" w:rsidRDefault="00000000">
      <w:pPr>
        <w:spacing w:after="120" w:line="300" w:lineRule="auto"/>
        <w:jc w:val="both"/>
      </w:pPr>
      <w:r>
        <w:rPr>
          <w:b/>
          <w:bCs/>
        </w:rPr>
        <w:t xml:space="preserve">Reiterleiste und Eingabebereich (links). </w:t>
      </w:r>
      <w:r>
        <w:t>Über die sieben Reiter „Einstellungen“, „Kopfdaten“, „1a · Hörverstehen“, „1b · Sprachmittlung“, „2 · Textaufgabe“, „Vorschau“ und „Anleitung“ wechseln Sie zwischen den Bearbeitungsabschnitten.</w:t>
      </w:r>
    </w:p>
    <w:p w14:paraId="0BDACC55" w14:textId="77777777" w:rsidR="00A22ABD" w:rsidRDefault="00000000">
      <w:pPr>
        <w:spacing w:after="120" w:line="300" w:lineRule="auto"/>
        <w:jc w:val="both"/>
      </w:pPr>
      <w:r>
        <w:rPr>
          <w:b/>
          <w:bCs/>
        </w:rPr>
        <w:t xml:space="preserve">Notenanzeige (rechts). </w:t>
      </w:r>
      <w:r>
        <w:t>Die mitlaufende Berechnung zeigt jederzeit die aktuelle Endnote an, einschließlich der gewichteten Teilnoten und eines etwaigen Form-Abzugs.</w:t>
      </w:r>
    </w:p>
    <w:p w14:paraId="69036ACB" w14:textId="77777777" w:rsidR="00273D7B" w:rsidRDefault="00273D7B">
      <w:pPr>
        <w:pBdr>
          <w:bottom w:val="single" w:sz="12" w:space="4" w:color="E37222"/>
        </w:pBdr>
        <w:tabs>
          <w:tab w:val="left" w:pos="720"/>
        </w:tabs>
        <w:spacing w:before="360" w:after="60"/>
        <w:rPr>
          <w:b/>
          <w:bCs/>
          <w:sz w:val="32"/>
          <w:szCs w:val="32"/>
        </w:rPr>
      </w:pPr>
    </w:p>
    <w:p w14:paraId="63DDA0E3" w14:textId="4A48E198" w:rsidR="00A22ABD" w:rsidRDefault="00000000">
      <w:pPr>
        <w:pBdr>
          <w:bottom w:val="single" w:sz="12" w:space="4" w:color="E37222"/>
        </w:pBdr>
        <w:tabs>
          <w:tab w:val="left" w:pos="720"/>
        </w:tabs>
        <w:spacing w:before="360" w:after="60"/>
      </w:pPr>
      <w:r>
        <w:rPr>
          <w:b/>
          <w:bCs/>
          <w:sz w:val="32"/>
          <w:szCs w:val="32"/>
        </w:rPr>
        <w:t>4</w:t>
      </w:r>
      <w:r>
        <w:rPr>
          <w:b/>
          <w:bCs/>
          <w:sz w:val="32"/>
          <w:szCs w:val="32"/>
        </w:rPr>
        <w:tab/>
        <w:t>Bearbeitungsablauf in sechs Schritten</w:t>
      </w:r>
    </w:p>
    <w:p w14:paraId="4872044A" w14:textId="77777777" w:rsidR="00A22ABD" w:rsidRDefault="00000000">
      <w:pPr>
        <w:spacing w:before="240" w:after="80"/>
      </w:pPr>
      <w:r>
        <w:rPr>
          <w:b/>
          <w:bCs/>
          <w:sz w:val="26"/>
          <w:szCs w:val="26"/>
        </w:rPr>
        <w:t>Schritt 1: Einstellungen</w:t>
      </w:r>
    </w:p>
    <w:p w14:paraId="591B61A6" w14:textId="77777777" w:rsidR="00A22ABD" w:rsidRDefault="00000000">
      <w:pPr>
        <w:spacing w:after="120" w:line="300" w:lineRule="auto"/>
        <w:jc w:val="both"/>
      </w:pPr>
      <w:r>
        <w:t>Im Reiter „Einstellungen“ laden Sie einmalig das Logo Ihrer Schule hoch und tragen den Schulnamen ein. Hier können Sie außerdem die Gewichtung der drei Schreibteilaufgaben (A1/A2/A3) anpassen – die Voreinstellung 30/30/40 % entspricht dem Niedersächsischen Abiturrahmen.</w:t>
      </w:r>
    </w:p>
    <w:p w14:paraId="0A7E042F" w14:textId="77777777" w:rsidR="00A22ABD" w:rsidRDefault="00000000">
      <w:pPr>
        <w:spacing w:before="240" w:after="80"/>
      </w:pPr>
      <w:r>
        <w:rPr>
          <w:b/>
          <w:bCs/>
          <w:sz w:val="26"/>
          <w:szCs w:val="26"/>
        </w:rPr>
        <w:t>Schritt 2: Kopfdaten</w:t>
      </w:r>
    </w:p>
    <w:p w14:paraId="1F73419D" w14:textId="77777777" w:rsidR="00A22ABD" w:rsidRDefault="00000000">
      <w:pPr>
        <w:spacing w:after="120" w:line="300" w:lineRule="auto"/>
        <w:jc w:val="both"/>
      </w:pPr>
      <w:r>
        <w:t>Tragen Sie im Reiter „Kopfdaten“ die persönlichen Daten der Prüflingsperson ein: Vorname, Nachname, Anforderungsniveau (eA oder gA), Sprache, Datum der Erst- und Zweitkorrektur, einen etwaigen Abzug für Verstöße gegen die äußere Form und das Abiturjahr.</w:t>
      </w:r>
    </w:p>
    <w:p w14:paraId="23A8E2E7" w14:textId="77777777" w:rsidR="00A22ABD" w:rsidRDefault="00000000">
      <w:pPr>
        <w:spacing w:before="240" w:after="80"/>
      </w:pPr>
      <w:r>
        <w:rPr>
          <w:b/>
          <w:bCs/>
          <w:sz w:val="26"/>
          <w:szCs w:val="26"/>
        </w:rPr>
        <w:t>Schritt 3: Hörverstehen (Teil 1a)</w:t>
      </w:r>
    </w:p>
    <w:p w14:paraId="21157A9B" w14:textId="77777777" w:rsidR="00A22ABD" w:rsidRDefault="00000000">
      <w:pPr>
        <w:spacing w:after="120" w:line="300" w:lineRule="auto"/>
        <w:jc w:val="both"/>
      </w:pPr>
      <w:r>
        <w:t>Im Reiter „1a · Hörverstehen“ tragen Sie die erreichten Bewertungseinheiten und die Maximalpunktzahl ein. Die Notenpunkte werden automatisch nach KMK-Notenschlüssel berechnet.</w:t>
      </w:r>
    </w:p>
    <w:p w14:paraId="500D591C" w14:textId="77777777" w:rsidR="00A22ABD" w:rsidRDefault="00000000">
      <w:pPr>
        <w:spacing w:before="240" w:after="80"/>
      </w:pPr>
      <w:r>
        <w:rPr>
          <w:b/>
          <w:bCs/>
          <w:sz w:val="26"/>
          <w:szCs w:val="26"/>
        </w:rPr>
        <w:t>Schritt 4: Sprachmittlung (Teil 1b)</w:t>
      </w:r>
    </w:p>
    <w:p w14:paraId="2B2067FB" w14:textId="77777777" w:rsidR="00A22ABD" w:rsidRDefault="00000000">
      <w:pPr>
        <w:spacing w:after="120" w:line="300" w:lineRule="auto"/>
        <w:jc w:val="both"/>
      </w:pPr>
      <w:r>
        <w:t>Im Reiter „1b · Sprachmittlung“ arbeiten Sie sich durch die Bereiche Sprache und Inhalt. Für jede Bewertungsdimension wählen Sie aus einem Auswahlmenü die zutreffende Stufe. Am Ende jedes Bereichs tragen Sie die zu vergebenden Punkte ein. Die Gesamtnote ergibt sich aus der Gewichtung Sprache 60 % und Inhalt 40 %.</w:t>
      </w:r>
    </w:p>
    <w:p w14:paraId="1541D5BD" w14:textId="77777777" w:rsidR="00A22ABD" w:rsidRDefault="00000000">
      <w:pPr>
        <w:spacing w:before="240" w:after="80"/>
      </w:pPr>
      <w:r>
        <w:rPr>
          <w:b/>
          <w:bCs/>
          <w:sz w:val="26"/>
          <w:szCs w:val="26"/>
        </w:rPr>
        <w:lastRenderedPageBreak/>
        <w:t>Schritt 5: Textaufgabe (Teil 2)</w:t>
      </w:r>
    </w:p>
    <w:p w14:paraId="19B16710" w14:textId="77777777" w:rsidR="00A22ABD" w:rsidRDefault="00000000">
      <w:pPr>
        <w:spacing w:after="120" w:line="300" w:lineRule="auto"/>
        <w:jc w:val="both"/>
      </w:pPr>
      <w:r>
        <w:t>Im Reiter „2 · Textaufgabe“ gehen Sie analog vor. Wählen Sie zuerst Aufgabennummer (3.1 oder 3.2) und Aufgabentyp (Stellungnahme oder Gestaltendes Schreiben) – beide Auswahlgruppen sind unabhängig voneinander einstellbar (siehe Abschnitt 5).</w:t>
      </w:r>
    </w:p>
    <w:p w14:paraId="45CB9B84" w14:textId="77777777" w:rsidR="00A22ABD" w:rsidRDefault="00000000">
      <w:pPr>
        <w:spacing w:before="240" w:after="80"/>
      </w:pPr>
      <w:r>
        <w:rPr>
          <w:b/>
          <w:bCs/>
          <w:sz w:val="26"/>
          <w:szCs w:val="26"/>
        </w:rPr>
        <w:t>Schritt 6: Vorschau und Export</w:t>
      </w:r>
    </w:p>
    <w:p w14:paraId="2F19F477" w14:textId="77777777" w:rsidR="00A22ABD" w:rsidRDefault="00000000">
      <w:pPr>
        <w:spacing w:after="120" w:line="300" w:lineRule="auto"/>
        <w:jc w:val="both"/>
      </w:pPr>
      <w:r>
        <w:t>Über den Reiter „Vorschau“ können Sie das fertige Gutachten in einer formatierten Darstellung einsehen. Offene oder unausgefüllte Stellen erscheinen orange markiert. Mit „Word-Datei“ erzeugen Sie das fertige Dokument. Zwischenstände können jederzeit über „Speichern“ gesichert werden.</w:t>
      </w:r>
    </w:p>
    <w:p w14:paraId="11C44716"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500CCA82"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31E7BFE7" w14:textId="77777777" w:rsidR="00A22ABD" w:rsidRDefault="00000000">
            <w:pPr>
              <w:spacing w:after="80"/>
            </w:pPr>
            <w:r>
              <w:rPr>
                <w:b/>
                <w:bCs/>
                <w:color w:val="E37222"/>
              </w:rPr>
              <w:t xml:space="preserve">▸ </w:t>
            </w:r>
            <w:r>
              <w:rPr>
                <w:b/>
                <w:bCs/>
              </w:rPr>
              <w:t>Empfehlung</w:t>
            </w:r>
          </w:p>
          <w:p w14:paraId="22B9E181" w14:textId="77777777" w:rsidR="00A22ABD" w:rsidRDefault="00000000">
            <w:pPr>
              <w:spacing w:line="300" w:lineRule="auto"/>
            </w:pPr>
            <w:r>
              <w:t>Speichern Sie nach dem Word-Export und vor dem Schließen des Browsers Ihren Zwischenstand als .gutachten.json-Datei, falls Sie das Gutachten später noch einmal überarbeiten möchten.</w:t>
            </w:r>
          </w:p>
        </w:tc>
      </w:tr>
    </w:tbl>
    <w:p w14:paraId="15C1C35B" w14:textId="77777777" w:rsidR="00A22ABD" w:rsidRDefault="00000000">
      <w:pPr>
        <w:pBdr>
          <w:bottom w:val="single" w:sz="12" w:space="4" w:color="E37222"/>
        </w:pBdr>
        <w:tabs>
          <w:tab w:val="left" w:pos="720"/>
        </w:tabs>
        <w:spacing w:before="360" w:after="60"/>
      </w:pPr>
      <w:r>
        <w:rPr>
          <w:b/>
          <w:bCs/>
          <w:sz w:val="32"/>
          <w:szCs w:val="32"/>
        </w:rPr>
        <w:t>5</w:t>
      </w:r>
      <w:r>
        <w:rPr>
          <w:b/>
          <w:bCs/>
          <w:sz w:val="32"/>
          <w:szCs w:val="32"/>
        </w:rPr>
        <w:tab/>
        <w:t>Die Auswahlmenüs verstehen</w:t>
      </w:r>
    </w:p>
    <w:p w14:paraId="457043A3" w14:textId="77777777" w:rsidR="00A22ABD" w:rsidRDefault="00000000">
      <w:pPr>
        <w:spacing w:after="120" w:line="300" w:lineRule="auto"/>
        <w:jc w:val="both"/>
      </w:pPr>
      <w:r>
        <w:t>Die Auswahlmenüs in den Bereichen „Sprache“ und „Inhalt“ enthalten die Formulierungen aus den offiziellen KMK-Bewertungsrastern (Stand: 08.11.2021). Jede Stufe entspricht intern einer Notenstufe; die konkrete Punktvergabe erfolgt jedoch eigenständig im Punkteingabefeld am Ende jedes Bewertungsabschnitts.</w:t>
      </w:r>
    </w:p>
    <w:p w14:paraId="7EDFAC49" w14:textId="77777777" w:rsidR="00A22ABD" w:rsidRDefault="00000000">
      <w:pPr>
        <w:spacing w:before="240" w:after="80"/>
      </w:pPr>
      <w:r>
        <w:rPr>
          <w:b/>
          <w:bCs/>
          <w:sz w:val="26"/>
          <w:szCs w:val="26"/>
        </w:rPr>
        <w:t>Gekoppelte Auswahlfelder</w:t>
      </w:r>
    </w:p>
    <w:p w14:paraId="65E1782F" w14:textId="77777777" w:rsidR="00A22ABD" w:rsidRDefault="00000000">
      <w:pPr>
        <w:spacing w:after="120" w:line="300" w:lineRule="auto"/>
        <w:jc w:val="both"/>
      </w:pPr>
      <w:r>
        <w:t>In den Bereichen Lexik, Satzbau, Grammatik und Textaufbau finden Sie jeweils zwei nebeneinanderliegende Auswahlmenüs. Diese Felder hängen inhaltlich zusammen, sind aber unabhängig voneinander einstellbar. Wenn Sie das linke (übergeordnete) Feld auswählen, wird das rechte Feld automatisch vorbelegt – sofern es noch nicht ausgefüllt ist. Den vorbelegten Wert können Sie jederzeit überschreiben.</w:t>
      </w:r>
    </w:p>
    <w:p w14:paraId="15CC9318"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41DD3831"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6433C866" w14:textId="77777777" w:rsidR="00A22ABD" w:rsidRDefault="00000000">
            <w:pPr>
              <w:spacing w:after="80"/>
            </w:pPr>
            <w:r>
              <w:rPr>
                <w:b/>
                <w:bCs/>
                <w:color w:val="E37222"/>
              </w:rPr>
              <w:t xml:space="preserve">▸ </w:t>
            </w:r>
            <w:r>
              <w:rPr>
                <w:b/>
                <w:bCs/>
              </w:rPr>
              <w:t>Hinweis</w:t>
            </w:r>
          </w:p>
          <w:p w14:paraId="319BD23D" w14:textId="77777777" w:rsidR="00A22ABD" w:rsidRDefault="00000000">
            <w:pPr>
              <w:spacing w:line="300" w:lineRule="auto"/>
            </w:pPr>
            <w:r>
              <w:t>Die automatische Vorbelegung ist als Erleichterung gedacht, keine Pflicht. Beide Felder lassen sich völlig unabhängig einstellen.</w:t>
            </w:r>
          </w:p>
        </w:tc>
      </w:tr>
    </w:tbl>
    <w:p w14:paraId="78DDCB10" w14:textId="77777777" w:rsidR="00273D7B" w:rsidRDefault="00273D7B">
      <w:pPr>
        <w:pBdr>
          <w:bottom w:val="single" w:sz="12" w:space="4" w:color="E37222"/>
        </w:pBdr>
        <w:tabs>
          <w:tab w:val="left" w:pos="720"/>
        </w:tabs>
        <w:spacing w:before="360" w:after="60"/>
        <w:rPr>
          <w:b/>
          <w:bCs/>
          <w:sz w:val="32"/>
          <w:szCs w:val="32"/>
        </w:rPr>
      </w:pPr>
    </w:p>
    <w:p w14:paraId="4F1B26D3" w14:textId="77777777" w:rsidR="00273D7B" w:rsidRDefault="00273D7B">
      <w:pPr>
        <w:pBdr>
          <w:bottom w:val="single" w:sz="12" w:space="4" w:color="E37222"/>
        </w:pBdr>
        <w:tabs>
          <w:tab w:val="left" w:pos="720"/>
        </w:tabs>
        <w:spacing w:before="360" w:after="60"/>
        <w:rPr>
          <w:b/>
          <w:bCs/>
          <w:sz w:val="32"/>
          <w:szCs w:val="32"/>
        </w:rPr>
      </w:pPr>
    </w:p>
    <w:p w14:paraId="13B5B5A0" w14:textId="77777777" w:rsidR="00273D7B" w:rsidRDefault="00273D7B">
      <w:pPr>
        <w:pBdr>
          <w:bottom w:val="single" w:sz="12" w:space="4" w:color="E37222"/>
        </w:pBdr>
        <w:tabs>
          <w:tab w:val="left" w:pos="720"/>
        </w:tabs>
        <w:spacing w:before="360" w:after="60"/>
        <w:rPr>
          <w:b/>
          <w:bCs/>
          <w:sz w:val="32"/>
          <w:szCs w:val="32"/>
        </w:rPr>
      </w:pPr>
    </w:p>
    <w:p w14:paraId="5EC174F5" w14:textId="5FAD3ACD" w:rsidR="00A22ABD" w:rsidRDefault="00000000">
      <w:pPr>
        <w:pBdr>
          <w:bottom w:val="single" w:sz="12" w:space="4" w:color="E37222"/>
        </w:pBdr>
        <w:tabs>
          <w:tab w:val="left" w:pos="720"/>
        </w:tabs>
        <w:spacing w:before="360" w:after="60"/>
      </w:pPr>
      <w:r>
        <w:rPr>
          <w:b/>
          <w:bCs/>
          <w:sz w:val="32"/>
          <w:szCs w:val="32"/>
        </w:rPr>
        <w:lastRenderedPageBreak/>
        <w:t>6</w:t>
      </w:r>
      <w:r>
        <w:rPr>
          <w:b/>
          <w:bCs/>
          <w:sz w:val="32"/>
          <w:szCs w:val="32"/>
        </w:rPr>
        <w:tab/>
        <w:t>Aufgabe 3: Nummer und Typ wählen</w:t>
      </w:r>
    </w:p>
    <w:p w14:paraId="3EB0CDF2" w14:textId="77777777" w:rsidR="00A22ABD" w:rsidRDefault="00000000">
      <w:pPr>
        <w:spacing w:after="120" w:line="300" w:lineRule="auto"/>
        <w:jc w:val="both"/>
      </w:pPr>
      <w:r>
        <w:t>Im Reiter „2 · Textaufgabe“ gibt es für Aufgabe 3 zwei unabhängige Auswahlgruppen:</w:t>
      </w:r>
    </w:p>
    <w:p w14:paraId="1FD988D2" w14:textId="77777777" w:rsidR="00A22ABD" w:rsidRDefault="00000000">
      <w:pPr>
        <w:spacing w:after="120" w:line="300" w:lineRule="auto"/>
        <w:jc w:val="both"/>
      </w:pPr>
      <w:r>
        <w:rPr>
          <w:b/>
          <w:bCs/>
        </w:rPr>
        <w:t xml:space="preserve">Aufgabennummer. </w:t>
      </w:r>
      <w:r>
        <w:t>Wählen Sie 3.1 oder 3.2 – dies bestimmt die Bezeichnung im Gutachten.</w:t>
      </w:r>
    </w:p>
    <w:p w14:paraId="776293D6" w14:textId="77777777" w:rsidR="00A22ABD" w:rsidRDefault="00000000">
      <w:pPr>
        <w:spacing w:after="120" w:line="300" w:lineRule="auto"/>
        <w:jc w:val="both"/>
      </w:pPr>
      <w:r>
        <w:rPr>
          <w:b/>
          <w:bCs/>
        </w:rPr>
        <w:t xml:space="preserve">Aufgabentyp. </w:t>
      </w:r>
      <w:r>
        <w:t>Wählen Sie „Stellungnahme“ oder „Gestaltendes Schreiben“ – dies blendet den passenden Bewertungsblock ein.</w:t>
      </w:r>
    </w:p>
    <w:p w14:paraId="1BCE77C0" w14:textId="77777777" w:rsidR="00A22ABD" w:rsidRDefault="00000000">
      <w:pPr>
        <w:spacing w:after="120" w:line="300" w:lineRule="auto"/>
        <w:jc w:val="both"/>
      </w:pPr>
      <w:r>
        <w:t>Beide Gruppen sind voneinander unabhängig einstellbar. Die Kombination z. B. „3.2 / Stellungnahme“ ist möglich, wenn Ihre Schule die Aufgaben entsprechend nummeriert.</w:t>
      </w:r>
    </w:p>
    <w:p w14:paraId="5AD4AFBB"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470D4491"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2C666E81" w14:textId="77777777" w:rsidR="00A22ABD" w:rsidRDefault="00000000">
            <w:pPr>
              <w:spacing w:after="80"/>
            </w:pPr>
            <w:r>
              <w:rPr>
                <w:b/>
                <w:bCs/>
                <w:color w:val="E37222"/>
              </w:rPr>
              <w:t xml:space="preserve">▸ </w:t>
            </w:r>
            <w:r>
              <w:rPr>
                <w:b/>
                <w:bCs/>
              </w:rPr>
              <w:t>Hinweis</w:t>
            </w:r>
          </w:p>
          <w:p w14:paraId="70AA0EF8" w14:textId="77777777" w:rsidR="00A22ABD" w:rsidRDefault="00000000">
            <w:pPr>
              <w:spacing w:line="300" w:lineRule="auto"/>
            </w:pPr>
            <w:r>
              <w:t>Falls Sie irrtümlich den falschen Typ ausgewählt haben, können Sie jederzeit wechseln. Eingetragene Punkte im ausgeblendeten Block werden dabei zurückgesetzt.</w:t>
            </w:r>
          </w:p>
        </w:tc>
      </w:tr>
    </w:tbl>
    <w:p w14:paraId="630C4DE8" w14:textId="77777777" w:rsidR="00A22ABD" w:rsidRDefault="00000000">
      <w:pPr>
        <w:pBdr>
          <w:bottom w:val="single" w:sz="12" w:space="4" w:color="E37222"/>
        </w:pBdr>
        <w:tabs>
          <w:tab w:val="left" w:pos="720"/>
        </w:tabs>
        <w:spacing w:before="360" w:after="60"/>
      </w:pPr>
      <w:r>
        <w:rPr>
          <w:b/>
          <w:bCs/>
          <w:sz w:val="32"/>
          <w:szCs w:val="32"/>
        </w:rPr>
        <w:t>7</w:t>
      </w:r>
      <w:r>
        <w:rPr>
          <w:b/>
          <w:bCs/>
          <w:sz w:val="32"/>
          <w:szCs w:val="32"/>
        </w:rPr>
        <w:tab/>
        <w:t>Gewichtung der Schreibteilaufgaben</w:t>
      </w:r>
    </w:p>
    <w:p w14:paraId="6A15B850" w14:textId="77777777" w:rsidR="00A22ABD" w:rsidRDefault="00000000">
      <w:pPr>
        <w:spacing w:after="120" w:line="300" w:lineRule="auto"/>
        <w:jc w:val="both"/>
      </w:pPr>
      <w:r>
        <w:t>Die Inhaltsnote der Textaufgabe ergibt sich aus den drei Schreibteilaufgaben A1, A2 und A3 gewichtet zusammen. Die Voreinstellung 30/30/40 % entspricht dem Niedersächsischen Abiturrahmen.</w:t>
      </w:r>
    </w:p>
    <w:p w14:paraId="5E4CB8A4" w14:textId="77777777" w:rsidR="00A22ABD" w:rsidRDefault="00000000">
      <w:pPr>
        <w:spacing w:after="120" w:line="300" w:lineRule="auto"/>
        <w:jc w:val="both"/>
      </w:pPr>
      <w:r>
        <w:t>Im Reiter „Einstellungen“ können Sie diese Gewichtung anpassen:</w:t>
      </w:r>
    </w:p>
    <w:p w14:paraId="405454C7" w14:textId="77777777" w:rsidR="00A22ABD" w:rsidRDefault="00000000">
      <w:pPr>
        <w:pStyle w:val="Listenabsatz"/>
        <w:numPr>
          <w:ilvl w:val="0"/>
          <w:numId w:val="2"/>
        </w:numPr>
        <w:spacing w:after="80" w:line="300" w:lineRule="auto"/>
      </w:pPr>
      <w:r>
        <w:t>Geben Sie für jede der drei Aufgaben einen ganzzahligen Prozentwert ein.</w:t>
      </w:r>
    </w:p>
    <w:p w14:paraId="7E453107" w14:textId="77777777" w:rsidR="00A22ABD" w:rsidRDefault="00000000">
      <w:pPr>
        <w:pStyle w:val="Listenabsatz"/>
        <w:numPr>
          <w:ilvl w:val="0"/>
          <w:numId w:val="2"/>
        </w:numPr>
        <w:spacing w:after="80" w:line="300" w:lineRule="auto"/>
      </w:pPr>
      <w:r>
        <w:t>Die Summe muss genau 100 ergeben. Das Werkzeug zeigt einen Warnhinweis, wenn die Summe abweicht.</w:t>
      </w:r>
    </w:p>
    <w:p w14:paraId="3F76D879" w14:textId="77777777" w:rsidR="00A22ABD" w:rsidRDefault="00000000">
      <w:pPr>
        <w:pStyle w:val="Listenabsatz"/>
        <w:numPr>
          <w:ilvl w:val="0"/>
          <w:numId w:val="2"/>
        </w:numPr>
        <w:spacing w:after="80" w:line="300" w:lineRule="auto"/>
      </w:pPr>
      <w:r>
        <w:t>Die geänderte Gewichtung wird sofort in Vorschau und Berechnung übernommen.</w:t>
      </w:r>
    </w:p>
    <w:p w14:paraId="4D5B6868" w14:textId="77777777" w:rsidR="00A22ABD" w:rsidRDefault="00000000">
      <w:pPr>
        <w:pStyle w:val="Listenabsatz"/>
        <w:numPr>
          <w:ilvl w:val="0"/>
          <w:numId w:val="2"/>
        </w:numPr>
        <w:spacing w:after="80" w:line="300" w:lineRule="auto"/>
      </w:pPr>
      <w:r>
        <w:t>Diese Einstellung gilt nur für die aktuelle Session und wird beim Schließen des Browsers zurückgesetzt.</w:t>
      </w:r>
    </w:p>
    <w:p w14:paraId="46C13E70"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23950C29"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7E8534A9" w14:textId="77777777" w:rsidR="00A22ABD" w:rsidRDefault="00000000">
            <w:pPr>
              <w:spacing w:after="80"/>
            </w:pPr>
            <w:r>
              <w:rPr>
                <w:b/>
                <w:bCs/>
                <w:color w:val="E37222"/>
              </w:rPr>
              <w:t xml:space="preserve">▸ </w:t>
            </w:r>
            <w:r>
              <w:rPr>
                <w:b/>
                <w:bCs/>
              </w:rPr>
              <w:t>Hinweis</w:t>
            </w:r>
          </w:p>
          <w:p w14:paraId="57423FC3" w14:textId="77777777" w:rsidR="00A22ABD" w:rsidRDefault="00000000">
            <w:pPr>
              <w:spacing w:line="300" w:lineRule="auto"/>
            </w:pPr>
            <w:r>
              <w:t>Wenn Ihre Schule eine abweichende Gewichtung verwendet (z. B. 25/25/50), passen Sie die Werte einmalig an. Beachten Sie: Die Gewichtung selbst wird nicht in der JSON-Datei gespeichert und muss bei jedem Start neu eingetragen werden.</w:t>
            </w:r>
          </w:p>
        </w:tc>
      </w:tr>
    </w:tbl>
    <w:p w14:paraId="12FB2C6F" w14:textId="77777777" w:rsidR="00273D7B" w:rsidRDefault="00273D7B">
      <w:pPr>
        <w:pBdr>
          <w:bottom w:val="single" w:sz="12" w:space="4" w:color="E37222"/>
        </w:pBdr>
        <w:tabs>
          <w:tab w:val="left" w:pos="720"/>
        </w:tabs>
        <w:spacing w:before="360" w:after="60"/>
        <w:rPr>
          <w:b/>
          <w:bCs/>
          <w:sz w:val="32"/>
          <w:szCs w:val="32"/>
        </w:rPr>
      </w:pPr>
    </w:p>
    <w:p w14:paraId="79DDFA3F" w14:textId="77777777" w:rsidR="00273D7B" w:rsidRDefault="00273D7B">
      <w:pPr>
        <w:pBdr>
          <w:bottom w:val="single" w:sz="12" w:space="4" w:color="E37222"/>
        </w:pBdr>
        <w:tabs>
          <w:tab w:val="left" w:pos="720"/>
        </w:tabs>
        <w:spacing w:before="360" w:after="60"/>
        <w:rPr>
          <w:b/>
          <w:bCs/>
          <w:sz w:val="32"/>
          <w:szCs w:val="32"/>
        </w:rPr>
      </w:pPr>
    </w:p>
    <w:p w14:paraId="5B5A77D0" w14:textId="77777777" w:rsidR="00273D7B" w:rsidRDefault="00273D7B">
      <w:pPr>
        <w:pBdr>
          <w:bottom w:val="single" w:sz="12" w:space="4" w:color="E37222"/>
        </w:pBdr>
        <w:tabs>
          <w:tab w:val="left" w:pos="720"/>
        </w:tabs>
        <w:spacing w:before="360" w:after="60"/>
        <w:rPr>
          <w:b/>
          <w:bCs/>
          <w:sz w:val="32"/>
          <w:szCs w:val="32"/>
        </w:rPr>
      </w:pPr>
    </w:p>
    <w:p w14:paraId="28003F16" w14:textId="53D63274" w:rsidR="00A22ABD" w:rsidRDefault="00000000">
      <w:pPr>
        <w:pBdr>
          <w:bottom w:val="single" w:sz="12" w:space="4" w:color="E37222"/>
        </w:pBdr>
        <w:tabs>
          <w:tab w:val="left" w:pos="720"/>
        </w:tabs>
        <w:spacing w:before="360" w:after="60"/>
      </w:pPr>
      <w:r>
        <w:rPr>
          <w:b/>
          <w:bCs/>
          <w:sz w:val="32"/>
          <w:szCs w:val="32"/>
        </w:rPr>
        <w:lastRenderedPageBreak/>
        <w:t>8</w:t>
      </w:r>
      <w:r>
        <w:rPr>
          <w:b/>
          <w:bCs/>
          <w:sz w:val="32"/>
          <w:szCs w:val="32"/>
        </w:rPr>
        <w:tab/>
        <w:t>Zwischenspeichern und Laden</w:t>
      </w:r>
    </w:p>
    <w:p w14:paraId="2C80FFB1" w14:textId="77777777" w:rsidR="00A22ABD" w:rsidRDefault="00000000">
      <w:pPr>
        <w:spacing w:after="120" w:line="300" w:lineRule="auto"/>
        <w:jc w:val="both"/>
      </w:pPr>
      <w:r>
        <w:t>Ab Version 2.0 können Sie den aktuellen Bearbeitungsstand als Datei auf Ihrem Rechner speichern und später wieder laden. So geht kein Eingabeaufwand verloren, wenn der Browser geschlossen wird.</w:t>
      </w:r>
    </w:p>
    <w:p w14:paraId="4FD45FED" w14:textId="77777777" w:rsidR="00273D7B" w:rsidRDefault="00273D7B">
      <w:pPr>
        <w:spacing w:after="120" w:line="300" w:lineRule="auto"/>
        <w:jc w:val="both"/>
      </w:pPr>
    </w:p>
    <w:p w14:paraId="6BDDF4D3" w14:textId="77777777" w:rsidR="00A22ABD" w:rsidRDefault="00000000">
      <w:pPr>
        <w:spacing w:before="240" w:after="80"/>
      </w:pPr>
      <w:r>
        <w:rPr>
          <w:b/>
          <w:bCs/>
          <w:sz w:val="26"/>
          <w:szCs w:val="26"/>
        </w:rPr>
        <w:t>Speichern</w:t>
      </w:r>
    </w:p>
    <w:p w14:paraId="3D064674" w14:textId="77777777" w:rsidR="00A22ABD" w:rsidRDefault="00000000">
      <w:pPr>
        <w:pStyle w:val="Listenabsatz"/>
        <w:numPr>
          <w:ilvl w:val="0"/>
          <w:numId w:val="8"/>
        </w:numPr>
        <w:spacing w:after="80" w:line="300" w:lineRule="auto"/>
      </w:pPr>
      <w:r>
        <w:t>Klicken Sie auf die Schaltfläche „Speichern“ oben rechts in der Kopfleiste.</w:t>
      </w:r>
    </w:p>
    <w:p w14:paraId="34C99719" w14:textId="77777777" w:rsidR="00A22ABD" w:rsidRDefault="00000000">
      <w:pPr>
        <w:pStyle w:val="Listenabsatz"/>
        <w:numPr>
          <w:ilvl w:val="0"/>
          <w:numId w:val="8"/>
        </w:numPr>
        <w:spacing w:after="80" w:line="300" w:lineRule="auto"/>
      </w:pPr>
      <w:r>
        <w:t>Es öffnet sich der Speichern-Dialog Ihres Betriebssystems.</w:t>
      </w:r>
    </w:p>
    <w:p w14:paraId="34B67472" w14:textId="77777777" w:rsidR="00A22ABD" w:rsidRDefault="00000000">
      <w:pPr>
        <w:pStyle w:val="Listenabsatz"/>
        <w:numPr>
          <w:ilvl w:val="0"/>
          <w:numId w:val="8"/>
        </w:numPr>
        <w:spacing w:after="80" w:line="300" w:lineRule="auto"/>
      </w:pPr>
      <w:r>
        <w:t>Der vorgeschlagene Dateiname lautet Gutachten_Nachname_Vorname.gutachten.json.</w:t>
      </w:r>
    </w:p>
    <w:p w14:paraId="569E1580" w14:textId="77777777" w:rsidR="00A22ABD" w:rsidRDefault="00000000">
      <w:pPr>
        <w:pStyle w:val="Listenabsatz"/>
        <w:numPr>
          <w:ilvl w:val="0"/>
          <w:numId w:val="8"/>
        </w:numPr>
        <w:spacing w:after="80" w:line="300" w:lineRule="auto"/>
      </w:pPr>
      <w:r>
        <w:t>Speichern Sie die Datei an einem geeigneten Ort (z. B. im gleichen Ordner wie die HTML-Datei oder in einem Schülerordner).</w:t>
      </w:r>
    </w:p>
    <w:p w14:paraId="09ABB269" w14:textId="77777777" w:rsidR="00A22ABD" w:rsidRDefault="00000000">
      <w:pPr>
        <w:spacing w:before="240" w:after="80"/>
      </w:pPr>
      <w:r>
        <w:rPr>
          <w:b/>
          <w:bCs/>
          <w:sz w:val="26"/>
          <w:szCs w:val="26"/>
        </w:rPr>
        <w:t>Laden – über Schaltfläche</w:t>
      </w:r>
    </w:p>
    <w:p w14:paraId="1AE810A2" w14:textId="77777777" w:rsidR="00A22ABD" w:rsidRDefault="00000000">
      <w:pPr>
        <w:pStyle w:val="Listenabsatz"/>
        <w:numPr>
          <w:ilvl w:val="0"/>
          <w:numId w:val="9"/>
        </w:numPr>
        <w:spacing w:after="80" w:line="300" w:lineRule="auto"/>
      </w:pPr>
      <w:r>
        <w:t>Klicken Sie auf die Schaltfläche „Laden“ oben rechts.</w:t>
      </w:r>
    </w:p>
    <w:p w14:paraId="53D2C9F4" w14:textId="77777777" w:rsidR="00A22ABD" w:rsidRDefault="00000000">
      <w:pPr>
        <w:pStyle w:val="Listenabsatz"/>
        <w:numPr>
          <w:ilvl w:val="0"/>
          <w:numId w:val="9"/>
        </w:numPr>
        <w:spacing w:after="80" w:line="300" w:lineRule="auto"/>
      </w:pPr>
      <w:r>
        <w:t>Wählen Sie im Dateidialog eine zuvor gespeicherte .gutachten.json-Datei aus.</w:t>
      </w:r>
    </w:p>
    <w:p w14:paraId="589A6AD5" w14:textId="77777777" w:rsidR="00A22ABD" w:rsidRDefault="00000000">
      <w:pPr>
        <w:pStyle w:val="Listenabsatz"/>
        <w:numPr>
          <w:ilvl w:val="0"/>
          <w:numId w:val="9"/>
        </w:numPr>
        <w:spacing w:after="80" w:line="300" w:lineRule="auto"/>
      </w:pPr>
      <w:r>
        <w:t>Alle gespeicherten Felder werden sofort wiederhergestellt.</w:t>
      </w:r>
    </w:p>
    <w:p w14:paraId="37015B60" w14:textId="77777777" w:rsidR="00A22ABD" w:rsidRDefault="00000000">
      <w:pPr>
        <w:spacing w:before="240" w:after="80"/>
      </w:pPr>
      <w:r>
        <w:rPr>
          <w:b/>
          <w:bCs/>
          <w:sz w:val="26"/>
          <w:szCs w:val="26"/>
        </w:rPr>
        <w:t>Laden – per Drag-and-Drop</w:t>
      </w:r>
    </w:p>
    <w:p w14:paraId="4A1B3E3A" w14:textId="77777777" w:rsidR="00A22ABD" w:rsidRDefault="00000000">
      <w:pPr>
        <w:spacing w:after="120" w:line="300" w:lineRule="auto"/>
        <w:jc w:val="both"/>
      </w:pPr>
      <w:r>
        <w:t>Alternativ können Sie eine .gutachten.json-Datei direkt auf das Browserfenster ziehen. Das Werkzeug erkennt die Datei und stellt alle Felder wieder her.</w:t>
      </w:r>
    </w:p>
    <w:p w14:paraId="122F146F" w14:textId="77777777" w:rsidR="00A22ABD" w:rsidRDefault="00000000">
      <w:pPr>
        <w:spacing w:before="240" w:after="80"/>
      </w:pPr>
      <w:r>
        <w:rPr>
          <w:b/>
          <w:bCs/>
          <w:sz w:val="26"/>
          <w:szCs w:val="26"/>
        </w:rPr>
        <w:t>Was wird gespeichert – und was nicht?</w:t>
      </w:r>
    </w:p>
    <w:tbl>
      <w:tblPr>
        <w:tblW w:w="9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2"/>
        <w:gridCol w:w="4512"/>
      </w:tblGrid>
      <w:tr w:rsidR="00A22ABD" w14:paraId="6D5C51AE" w14:textId="77777777">
        <w:tblPrEx>
          <w:tblCellMar>
            <w:top w:w="0" w:type="dxa"/>
            <w:bottom w:w="0" w:type="dxa"/>
          </w:tblCellMar>
        </w:tblPrEx>
        <w:trPr>
          <w:tblHeader/>
        </w:trPr>
        <w:tc>
          <w:tcPr>
            <w:tcW w:w="4512" w:type="dxa"/>
            <w:tcBorders>
              <w:top w:val="single" w:sz="4" w:space="0" w:color="BFBFBF"/>
              <w:left w:val="single" w:sz="4" w:space="0" w:color="BFBFBF"/>
              <w:bottom w:val="single" w:sz="4" w:space="0" w:color="BFBFBF"/>
              <w:right w:val="single" w:sz="4" w:space="0" w:color="BFBFBF"/>
            </w:tcBorders>
            <w:shd w:val="clear" w:color="auto" w:fill="F4F0EC"/>
            <w:tcMar>
              <w:top w:w="80" w:type="dxa"/>
              <w:left w:w="120" w:type="dxa"/>
              <w:bottom w:w="80" w:type="dxa"/>
              <w:right w:w="120" w:type="dxa"/>
            </w:tcMar>
          </w:tcPr>
          <w:p w14:paraId="332FA63D" w14:textId="77777777" w:rsidR="00A22ABD" w:rsidRDefault="00000000">
            <w:r>
              <w:rPr>
                <w:b/>
                <w:bCs/>
              </w:rPr>
              <w:t>Wird gespeichert</w:t>
            </w:r>
          </w:p>
        </w:tc>
        <w:tc>
          <w:tcPr>
            <w:tcW w:w="4512" w:type="dxa"/>
            <w:tcBorders>
              <w:top w:val="single" w:sz="4" w:space="0" w:color="BFBFBF"/>
              <w:left w:val="single" w:sz="4" w:space="0" w:color="BFBFBF"/>
              <w:bottom w:val="single" w:sz="4" w:space="0" w:color="BFBFBF"/>
              <w:right w:val="single" w:sz="4" w:space="0" w:color="BFBFBF"/>
            </w:tcBorders>
            <w:shd w:val="clear" w:color="auto" w:fill="F4F0EC"/>
            <w:tcMar>
              <w:top w:w="80" w:type="dxa"/>
              <w:left w:w="120" w:type="dxa"/>
              <w:bottom w:w="80" w:type="dxa"/>
              <w:right w:w="120" w:type="dxa"/>
            </w:tcMar>
          </w:tcPr>
          <w:p w14:paraId="460949AD" w14:textId="77777777" w:rsidR="00A22ABD" w:rsidRDefault="00000000">
            <w:r>
              <w:rPr>
                <w:b/>
                <w:bCs/>
              </w:rPr>
              <w:t>Wird nicht gespeichert</w:t>
            </w:r>
          </w:p>
        </w:tc>
      </w:tr>
      <w:tr w:rsidR="00A22ABD" w14:paraId="3E0B0600" w14:textId="77777777">
        <w:tblPrEx>
          <w:tblCellMar>
            <w:top w:w="0" w:type="dxa"/>
            <w:bottom w:w="0" w:type="dxa"/>
          </w:tblCellMar>
        </w:tblPrEx>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9B66644" w14:textId="77777777" w:rsidR="00A22ABD" w:rsidRDefault="00000000">
            <w:r>
              <w:t>Alle Auswahlmenü-Werte (Sprache, Inhalt)</w:t>
            </w:r>
          </w:p>
        </w:tc>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57E0177" w14:textId="77777777" w:rsidR="00A22ABD" w:rsidRDefault="00000000">
            <w:r>
              <w:t>Schulname und Schullogo</w:t>
            </w:r>
          </w:p>
        </w:tc>
      </w:tr>
      <w:tr w:rsidR="00A22ABD" w14:paraId="6D832786" w14:textId="77777777">
        <w:tblPrEx>
          <w:tblCellMar>
            <w:top w:w="0" w:type="dxa"/>
            <w:bottom w:w="0" w:type="dxa"/>
          </w:tblCellMar>
        </w:tblPrEx>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7F20AB0" w14:textId="77777777" w:rsidR="00A22ABD" w:rsidRDefault="00000000">
            <w:r>
              <w:t>Alle Punkteingaben</w:t>
            </w:r>
          </w:p>
        </w:tc>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B90CFDD" w14:textId="77777777" w:rsidR="00A22ABD" w:rsidRDefault="00000000">
            <w:r>
              <w:t>Gewichtung A1/A2/A3</w:t>
            </w:r>
          </w:p>
        </w:tc>
      </w:tr>
      <w:tr w:rsidR="00A22ABD" w14:paraId="6084C93B" w14:textId="77777777">
        <w:tblPrEx>
          <w:tblCellMar>
            <w:top w:w="0" w:type="dxa"/>
            <w:bottom w:w="0" w:type="dxa"/>
          </w:tblCellMar>
        </w:tblPrEx>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B904281" w14:textId="77777777" w:rsidR="00A22ABD" w:rsidRDefault="00000000">
            <w:r>
              <w:t>Alle Freitextfelder (Individualisierung, Würdigung)</w:t>
            </w:r>
          </w:p>
        </w:tc>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542E66" w14:textId="77777777" w:rsidR="00A22ABD" w:rsidRDefault="00000000">
            <w:r>
              <w:t>Kopfdaten (Name, Niveau, Sprache, Daten)</w:t>
            </w:r>
          </w:p>
        </w:tc>
      </w:tr>
      <w:tr w:rsidR="00A22ABD" w14:paraId="51A9E5B2" w14:textId="77777777">
        <w:tblPrEx>
          <w:tblCellMar>
            <w:top w:w="0" w:type="dxa"/>
            <w:bottom w:w="0" w:type="dxa"/>
          </w:tblCellMar>
        </w:tblPrEx>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128D5E4" w14:textId="77777777" w:rsidR="00A22ABD" w:rsidRDefault="00000000">
            <w:r>
              <w:t>Aufgabennummer und Aufgabentyp (Aufgabe 3)</w:t>
            </w:r>
          </w:p>
        </w:tc>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6A27686" w14:textId="77777777" w:rsidR="00A22ABD" w:rsidRDefault="00A22ABD"/>
        </w:tc>
      </w:tr>
      <w:tr w:rsidR="00A22ABD" w14:paraId="2654D05F" w14:textId="77777777">
        <w:tblPrEx>
          <w:tblCellMar>
            <w:top w:w="0" w:type="dxa"/>
            <w:bottom w:w="0" w:type="dxa"/>
          </w:tblCellMar>
        </w:tblPrEx>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DDDB09B" w14:textId="77777777" w:rsidR="00A22ABD" w:rsidRDefault="00000000">
            <w:r>
              <w:t>Formabzug</w:t>
            </w:r>
          </w:p>
        </w:tc>
        <w:tc>
          <w:tcPr>
            <w:tcW w:w="4512"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CCD2D6F" w14:textId="77777777" w:rsidR="00A22ABD" w:rsidRDefault="00A22ABD"/>
        </w:tc>
      </w:tr>
    </w:tbl>
    <w:p w14:paraId="1ECA8635" w14:textId="77777777" w:rsidR="00A22ABD" w:rsidRDefault="00A22ABD">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0F646460"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5A8B73D9" w14:textId="77777777" w:rsidR="00A22ABD" w:rsidRDefault="00000000">
            <w:pPr>
              <w:spacing w:after="80"/>
            </w:pPr>
            <w:r>
              <w:rPr>
                <w:b/>
                <w:bCs/>
                <w:color w:val="E37222"/>
              </w:rPr>
              <w:t xml:space="preserve">▸ </w:t>
            </w:r>
            <w:r>
              <w:rPr>
                <w:b/>
                <w:bCs/>
              </w:rPr>
              <w:t>Hinweis</w:t>
            </w:r>
          </w:p>
          <w:p w14:paraId="32E82872" w14:textId="77777777" w:rsidR="00A22ABD" w:rsidRDefault="00000000">
            <w:pPr>
              <w:spacing w:line="300" w:lineRule="auto"/>
            </w:pPr>
            <w:r>
              <w:t>Logo und Schulname müssen bei jedem Start neu eingegeben werden, da sie schulspezifisch sind und nicht in Schüler-Gutachten-Dateien gehören. Empfehlung: Logo und Name gleich zu Beginn eintragen, dann den Stand speichern.</w:t>
            </w:r>
          </w:p>
        </w:tc>
      </w:tr>
    </w:tbl>
    <w:p w14:paraId="0291C771" w14:textId="77777777" w:rsidR="00273D7B" w:rsidRDefault="00273D7B">
      <w:pPr>
        <w:spacing w:before="240" w:after="80"/>
        <w:rPr>
          <w:b/>
          <w:bCs/>
          <w:sz w:val="26"/>
          <w:szCs w:val="26"/>
        </w:rPr>
      </w:pPr>
    </w:p>
    <w:p w14:paraId="196B6AE1" w14:textId="2170E1C3" w:rsidR="00A22ABD" w:rsidRDefault="00000000">
      <w:pPr>
        <w:spacing w:before="240" w:after="80"/>
      </w:pPr>
      <w:r>
        <w:rPr>
          <w:b/>
          <w:bCs/>
          <w:sz w:val="26"/>
          <w:szCs w:val="26"/>
        </w:rPr>
        <w:lastRenderedPageBreak/>
        <w:t>Kompatibilität</w:t>
      </w:r>
    </w:p>
    <w:p w14:paraId="48EFEF76" w14:textId="77777777" w:rsidR="00A22ABD" w:rsidRDefault="00000000">
      <w:pPr>
        <w:spacing w:after="120" w:line="300" w:lineRule="auto"/>
        <w:jc w:val="both"/>
      </w:pPr>
      <w:r>
        <w:t>Die .gutachten.json-Dateien sind abwärtskompatibel. Dateien, die mit v2.0 gespeichert wurden, können mit künftigen Versionen des Generators geladen werden – sofern keine grundlegende Strukturänderung erfolgt. Das Werkzeug prüft die Versionsnummer beim Laden und zeigt eine Warnung, falls eine Datei aus einer neueren Version stammt.</w:t>
      </w:r>
    </w:p>
    <w:p w14:paraId="37C264C6" w14:textId="77777777" w:rsidR="00A22ABD" w:rsidRDefault="00000000">
      <w:pPr>
        <w:pBdr>
          <w:bottom w:val="single" w:sz="12" w:space="4" w:color="E37222"/>
        </w:pBdr>
        <w:tabs>
          <w:tab w:val="left" w:pos="720"/>
        </w:tabs>
        <w:spacing w:before="360" w:after="60"/>
      </w:pPr>
      <w:r>
        <w:rPr>
          <w:b/>
          <w:bCs/>
          <w:sz w:val="32"/>
          <w:szCs w:val="32"/>
        </w:rPr>
        <w:t>9</w:t>
      </w:r>
      <w:r>
        <w:rPr>
          <w:b/>
          <w:bCs/>
          <w:sz w:val="32"/>
          <w:szCs w:val="32"/>
        </w:rPr>
        <w:tab/>
        <w:t>Punktevergabe und Notenberechnung</w:t>
      </w:r>
    </w:p>
    <w:p w14:paraId="37A0D0C7" w14:textId="77777777" w:rsidR="00A22ABD" w:rsidRDefault="00000000">
      <w:pPr>
        <w:spacing w:before="240" w:after="80"/>
      </w:pPr>
      <w:r>
        <w:rPr>
          <w:b/>
          <w:bCs/>
          <w:sz w:val="26"/>
          <w:szCs w:val="26"/>
        </w:rPr>
        <w:t>Voreinstellung der Auswahlmenüs</w:t>
      </w:r>
    </w:p>
    <w:p w14:paraId="2F763BC2" w14:textId="77777777" w:rsidR="00A22ABD" w:rsidRDefault="00000000">
      <w:pPr>
        <w:spacing w:after="120" w:line="300" w:lineRule="auto"/>
        <w:jc w:val="both"/>
      </w:pPr>
      <w:r>
        <w:t>Die Auswahlmenüs sind intern den Notenstufen des KMK-Notenschlüssels zugeordnet. Zur Orientierung gilt jeweils der Mittelwert der entsprechenden Notenstufe als Bezugspunkt:</w:t>
      </w:r>
    </w:p>
    <w:p w14:paraId="65DF56AB" w14:textId="77777777" w:rsidR="00A22ABD" w:rsidRDefault="00A22ABD">
      <w:pPr>
        <w:spacing w:after="60"/>
      </w:pPr>
    </w:p>
    <w:tbl>
      <w:tblPr>
        <w:tblW w:w="6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8"/>
        <w:gridCol w:w="3008"/>
      </w:tblGrid>
      <w:tr w:rsidR="00273D7B" w14:paraId="391749F3" w14:textId="77777777" w:rsidTr="00273D7B">
        <w:tblPrEx>
          <w:tblCellMar>
            <w:top w:w="0" w:type="dxa"/>
            <w:bottom w:w="0" w:type="dxa"/>
          </w:tblCellMar>
        </w:tblPrEx>
        <w:trPr>
          <w:tblHeader/>
        </w:trPr>
        <w:tc>
          <w:tcPr>
            <w:tcW w:w="3008" w:type="dxa"/>
            <w:tcBorders>
              <w:top w:val="single" w:sz="4" w:space="0" w:color="BFBFBF"/>
              <w:left w:val="single" w:sz="4" w:space="0" w:color="BFBFBF"/>
              <w:bottom w:val="single" w:sz="4" w:space="0" w:color="BFBFBF"/>
              <w:right w:val="single" w:sz="4" w:space="0" w:color="BFBFBF"/>
            </w:tcBorders>
            <w:shd w:val="clear" w:color="auto" w:fill="F4F0EC"/>
            <w:tcMar>
              <w:top w:w="80" w:type="dxa"/>
              <w:left w:w="120" w:type="dxa"/>
              <w:bottom w:w="80" w:type="dxa"/>
              <w:right w:w="120" w:type="dxa"/>
            </w:tcMar>
          </w:tcPr>
          <w:p w14:paraId="440CCC1E" w14:textId="77777777" w:rsidR="00273D7B" w:rsidRDefault="00273D7B">
            <w:r>
              <w:rPr>
                <w:b/>
                <w:bCs/>
              </w:rPr>
              <w:t>Notenstufe</w:t>
            </w:r>
          </w:p>
        </w:tc>
        <w:tc>
          <w:tcPr>
            <w:tcW w:w="3008" w:type="dxa"/>
            <w:tcBorders>
              <w:top w:val="single" w:sz="4" w:space="0" w:color="BFBFBF"/>
              <w:left w:val="single" w:sz="4" w:space="0" w:color="BFBFBF"/>
              <w:bottom w:val="single" w:sz="4" w:space="0" w:color="BFBFBF"/>
              <w:right w:val="single" w:sz="4" w:space="0" w:color="BFBFBF"/>
            </w:tcBorders>
            <w:shd w:val="clear" w:color="auto" w:fill="F4F0EC"/>
            <w:tcMar>
              <w:top w:w="80" w:type="dxa"/>
              <w:left w:w="120" w:type="dxa"/>
              <w:bottom w:w="80" w:type="dxa"/>
              <w:right w:w="120" w:type="dxa"/>
            </w:tcMar>
          </w:tcPr>
          <w:p w14:paraId="39FF6740" w14:textId="77777777" w:rsidR="00273D7B" w:rsidRDefault="00273D7B">
            <w:r>
              <w:rPr>
                <w:b/>
                <w:bCs/>
              </w:rPr>
              <w:t>Spanne (KMK)</w:t>
            </w:r>
          </w:p>
        </w:tc>
      </w:tr>
      <w:tr w:rsidR="00273D7B" w14:paraId="1C38E2E7"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D7CC6CB" w14:textId="77777777" w:rsidR="00273D7B" w:rsidRDefault="00273D7B">
            <w:r>
              <w:t>sehr gut</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6E33994" w14:textId="77777777" w:rsidR="00273D7B" w:rsidRDefault="00273D7B">
            <w:pPr>
              <w:jc w:val="center"/>
            </w:pPr>
            <w:r>
              <w:t>15 – 13</w:t>
            </w:r>
          </w:p>
        </w:tc>
      </w:tr>
      <w:tr w:rsidR="00273D7B" w14:paraId="7D56FE3F"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D657DC0" w14:textId="77777777" w:rsidR="00273D7B" w:rsidRDefault="00273D7B">
            <w:r>
              <w:t>gut</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99613AE" w14:textId="77777777" w:rsidR="00273D7B" w:rsidRDefault="00273D7B">
            <w:pPr>
              <w:jc w:val="center"/>
            </w:pPr>
            <w:r>
              <w:t>12 – 10</w:t>
            </w:r>
          </w:p>
        </w:tc>
      </w:tr>
      <w:tr w:rsidR="00273D7B" w14:paraId="34E6A601"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D64BC90" w14:textId="77777777" w:rsidR="00273D7B" w:rsidRDefault="00273D7B">
            <w:r>
              <w:t>befriedigend</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CA29596" w14:textId="77777777" w:rsidR="00273D7B" w:rsidRDefault="00273D7B">
            <w:pPr>
              <w:jc w:val="center"/>
            </w:pPr>
            <w:r>
              <w:t>9 – 7</w:t>
            </w:r>
          </w:p>
        </w:tc>
      </w:tr>
      <w:tr w:rsidR="00273D7B" w14:paraId="36ED496B"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F7B3328" w14:textId="77777777" w:rsidR="00273D7B" w:rsidRDefault="00273D7B">
            <w:r>
              <w:t>ausreichend</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4664141" w14:textId="77777777" w:rsidR="00273D7B" w:rsidRDefault="00273D7B">
            <w:pPr>
              <w:jc w:val="center"/>
            </w:pPr>
            <w:r>
              <w:t>6 – 4</w:t>
            </w:r>
          </w:p>
        </w:tc>
      </w:tr>
      <w:tr w:rsidR="00273D7B" w14:paraId="4114CA6F"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8265EF1" w14:textId="77777777" w:rsidR="00273D7B" w:rsidRDefault="00273D7B">
            <w:r>
              <w:t>mangelhaft</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1531ED" w14:textId="77777777" w:rsidR="00273D7B" w:rsidRDefault="00273D7B">
            <w:pPr>
              <w:jc w:val="center"/>
            </w:pPr>
            <w:r>
              <w:t>3 – 1</w:t>
            </w:r>
          </w:p>
        </w:tc>
      </w:tr>
      <w:tr w:rsidR="00273D7B" w14:paraId="4671FFA8" w14:textId="77777777" w:rsidTr="00273D7B">
        <w:tblPrEx>
          <w:tblCellMar>
            <w:top w:w="0" w:type="dxa"/>
            <w:bottom w:w="0" w:type="dxa"/>
          </w:tblCellMar>
        </w:tblPrEx>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55A6DD1D" w14:textId="77777777" w:rsidR="00273D7B" w:rsidRDefault="00273D7B">
            <w:r>
              <w:t>ungenügend</w:t>
            </w:r>
          </w:p>
        </w:tc>
        <w:tc>
          <w:tcPr>
            <w:tcW w:w="300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7D7D84BD" w14:textId="77777777" w:rsidR="00273D7B" w:rsidRDefault="00273D7B">
            <w:pPr>
              <w:jc w:val="center"/>
            </w:pPr>
            <w:r>
              <w:t>0</w:t>
            </w:r>
          </w:p>
        </w:tc>
      </w:tr>
    </w:tbl>
    <w:p w14:paraId="1E69ADB2" w14:textId="77777777" w:rsidR="00A22ABD" w:rsidRDefault="00A22ABD">
      <w:pPr>
        <w:spacing w:after="120"/>
      </w:pPr>
    </w:p>
    <w:p w14:paraId="57393B16" w14:textId="786CA73C" w:rsidR="00A22ABD" w:rsidRDefault="00000000">
      <w:pPr>
        <w:spacing w:after="120" w:line="300" w:lineRule="auto"/>
        <w:jc w:val="both"/>
      </w:pPr>
      <w:r>
        <w:t>Die Punktevergabe erfolgt</w:t>
      </w:r>
      <w:r w:rsidR="00273D7B">
        <w:t xml:space="preserve"> integrativ und</w:t>
      </w:r>
      <w:r>
        <w:t xml:space="preserve"> eigenständig durch die Lehrkraft. Im Punkteingabefeld am Ende jedes Bewertungsabschnitts tragen Sie die Punkte ein, die den tatsächlichen Eindruck Ihrer Korrektur abbilden.</w:t>
      </w:r>
    </w:p>
    <w:p w14:paraId="499CA863" w14:textId="77777777" w:rsidR="00A22ABD" w:rsidRDefault="00000000">
      <w:pPr>
        <w:spacing w:before="240" w:after="80"/>
      </w:pPr>
      <w:r>
        <w:rPr>
          <w:b/>
          <w:bCs/>
          <w:sz w:val="26"/>
          <w:szCs w:val="26"/>
        </w:rPr>
        <w:t>Berechnung der Endnote</w:t>
      </w:r>
    </w:p>
    <w:p w14:paraId="19F4BF4D" w14:textId="77777777" w:rsidR="00A22ABD" w:rsidRDefault="00000000">
      <w:pPr>
        <w:spacing w:after="120" w:line="300" w:lineRule="auto"/>
        <w:jc w:val="both"/>
      </w:pPr>
      <w:r>
        <w:t>Die Notenberechnung erfolgt automatisch nach folgendem Schema:</w:t>
      </w:r>
    </w:p>
    <w:p w14:paraId="5D5B9E93" w14:textId="77777777" w:rsidR="00A22ABD" w:rsidRDefault="00000000">
      <w:pPr>
        <w:spacing w:after="120" w:line="300" w:lineRule="auto"/>
        <w:jc w:val="both"/>
      </w:pPr>
      <w:r>
        <w:rPr>
          <w:b/>
          <w:bCs/>
        </w:rPr>
        <w:t xml:space="preserve">Pro Teil: </w:t>
      </w:r>
      <w:r>
        <w:t>Sprache × 60 % + Inhalt × 40 %</w:t>
      </w:r>
    </w:p>
    <w:p w14:paraId="1EDF50AF" w14:textId="77777777" w:rsidR="00A22ABD" w:rsidRDefault="00000000">
      <w:pPr>
        <w:spacing w:after="120" w:line="300" w:lineRule="auto"/>
        <w:jc w:val="both"/>
      </w:pPr>
      <w:r>
        <w:rPr>
          <w:b/>
          <w:bCs/>
        </w:rPr>
        <w:t xml:space="preserve">Inhalt der Textaufgabe: </w:t>
      </w:r>
      <w:r>
        <w:t>Aufgabe 1 × gew. % + Aufgabe 2 × gew. % + Aufgabe 3 × gew. % (konfigurierbar, Voreinstellung 30/30/40)</w:t>
      </w:r>
    </w:p>
    <w:p w14:paraId="782716E6" w14:textId="77777777" w:rsidR="00A22ABD" w:rsidRDefault="00000000">
      <w:pPr>
        <w:spacing w:after="120" w:line="300" w:lineRule="auto"/>
        <w:jc w:val="both"/>
      </w:pPr>
      <w:r>
        <w:rPr>
          <w:b/>
          <w:bCs/>
        </w:rPr>
        <w:t xml:space="preserve">Endnote: </w:t>
      </w:r>
      <w:r>
        <w:t>Hörverstehen × 20 % + Sprachmittlung × 25 % + Textaufgabe × 55 % − Form-Abzug</w:t>
      </w:r>
    </w:p>
    <w:p w14:paraId="0EA660C8" w14:textId="77777777" w:rsidR="00A22ABD" w:rsidRDefault="00000000">
      <w:pPr>
        <w:spacing w:after="120" w:line="300" w:lineRule="auto"/>
        <w:jc w:val="both"/>
      </w:pPr>
      <w:r>
        <w:t>Das Hörverstehen wird über den KMK-Notenschlüssel aus dem Verhältnis erreichter zu maximalen Bewertungseinheiten berechnet.</w:t>
      </w:r>
    </w:p>
    <w:p w14:paraId="1238C3AF" w14:textId="77777777" w:rsidR="00273D7B" w:rsidRDefault="00273D7B">
      <w:pPr>
        <w:spacing w:after="120" w:line="300" w:lineRule="auto"/>
        <w:jc w:val="both"/>
      </w:pPr>
    </w:p>
    <w:p w14:paraId="726A7E15" w14:textId="77777777" w:rsidR="00273D7B" w:rsidRDefault="00273D7B">
      <w:pPr>
        <w:spacing w:after="120" w:line="300" w:lineRule="auto"/>
        <w:jc w:val="both"/>
      </w:pPr>
    </w:p>
    <w:p w14:paraId="1FDB8970" w14:textId="77777777" w:rsidR="00A22ABD" w:rsidRDefault="00000000">
      <w:pPr>
        <w:pBdr>
          <w:bottom w:val="single" w:sz="12" w:space="4" w:color="E37222"/>
        </w:pBdr>
        <w:tabs>
          <w:tab w:val="left" w:pos="720"/>
        </w:tabs>
        <w:spacing w:before="360" w:after="60"/>
      </w:pPr>
      <w:r>
        <w:rPr>
          <w:b/>
          <w:bCs/>
          <w:sz w:val="32"/>
          <w:szCs w:val="32"/>
        </w:rPr>
        <w:lastRenderedPageBreak/>
        <w:t>10</w:t>
      </w:r>
      <w:r>
        <w:rPr>
          <w:b/>
          <w:bCs/>
          <w:sz w:val="32"/>
          <w:szCs w:val="32"/>
        </w:rPr>
        <w:tab/>
        <w:t>Unterstützung beim Ausformulieren der Freitextfelder</w:t>
      </w:r>
    </w:p>
    <w:p w14:paraId="44344AAE" w14:textId="77777777" w:rsidR="00A22ABD" w:rsidRDefault="00000000">
      <w:pPr>
        <w:spacing w:after="120" w:line="300" w:lineRule="auto"/>
        <w:jc w:val="both"/>
      </w:pPr>
      <w:r>
        <w:t>Die Freitextfelder des Werkzeugs können Sie wie gewohnt eintippen. Falls Sie bei der Ausformulierung Unterstützung wünschen, bietet das Werkzeug zwei optionale Wege an: KI-gestützte Formulierungshilfen und Diktiersoftware.</w:t>
      </w:r>
    </w:p>
    <w:p w14:paraId="2521C982" w14:textId="77777777" w:rsidR="00A22ABD" w:rsidRDefault="00000000">
      <w:pPr>
        <w:spacing w:before="240" w:after="80"/>
      </w:pPr>
      <w:r>
        <w:rPr>
          <w:b/>
          <w:bCs/>
          <w:sz w:val="26"/>
          <w:szCs w:val="26"/>
        </w:rPr>
        <w:t>10.1 KI-gestützte Formulierungshilfen</w:t>
      </w:r>
    </w:p>
    <w:p w14:paraId="1C3C40F8" w14:textId="77777777" w:rsidR="00A22ABD" w:rsidRDefault="00000000">
      <w:pPr>
        <w:spacing w:after="120" w:line="300" w:lineRule="auto"/>
        <w:jc w:val="both"/>
      </w:pPr>
      <w:r>
        <w:t>Bei jedem Freitextfeld finden Sie eine Schaltfläche „Prompt für KI kopieren“. Vorgehen:</w:t>
      </w:r>
    </w:p>
    <w:p w14:paraId="4E951B2C" w14:textId="77777777" w:rsidR="00A22ABD" w:rsidRDefault="00000000">
      <w:pPr>
        <w:pStyle w:val="Listenabsatz"/>
        <w:numPr>
          <w:ilvl w:val="0"/>
          <w:numId w:val="10"/>
        </w:numPr>
        <w:spacing w:after="80" w:line="300" w:lineRule="auto"/>
      </w:pPr>
      <w:r>
        <w:t>Klicken Sie auf „Prompt für KI kopieren“.</w:t>
      </w:r>
    </w:p>
    <w:p w14:paraId="49403FD9" w14:textId="77777777" w:rsidR="00A22ABD" w:rsidRDefault="00000000">
      <w:pPr>
        <w:pStyle w:val="Listenabsatz"/>
        <w:numPr>
          <w:ilvl w:val="0"/>
          <w:numId w:val="10"/>
        </w:numPr>
        <w:spacing w:after="80" w:line="300" w:lineRule="auto"/>
      </w:pPr>
      <w:r>
        <w:t>Tragen Sie im Fenster Ihre Stichworte ein.</w:t>
      </w:r>
    </w:p>
    <w:p w14:paraId="40DE5201" w14:textId="77777777" w:rsidR="00A22ABD" w:rsidRDefault="00000000">
      <w:pPr>
        <w:pStyle w:val="Listenabsatz"/>
        <w:numPr>
          <w:ilvl w:val="0"/>
          <w:numId w:val="10"/>
        </w:numPr>
        <w:spacing w:after="80" w:line="300" w:lineRule="auto"/>
      </w:pPr>
      <w:r>
        <w:t>Klicken Sie auf „Prompt kopieren“ und fügen Sie ihn in ein KI-Werkzeug Ihrer Wahl ein.</w:t>
      </w:r>
    </w:p>
    <w:p w14:paraId="2BFCD8F7" w14:textId="77777777" w:rsidR="00A22ABD" w:rsidRDefault="00000000">
      <w:pPr>
        <w:pStyle w:val="Listenabsatz"/>
        <w:numPr>
          <w:ilvl w:val="0"/>
          <w:numId w:val="10"/>
        </w:numPr>
        <w:spacing w:after="80" w:line="300" w:lineRule="auto"/>
      </w:pPr>
      <w:r>
        <w:t>Den ausformulierten Absatz fügen Sie anschließend in das Freitextfeld ein und prüfen ihn.</w:t>
      </w:r>
    </w:p>
    <w:p w14:paraId="1E1C4516"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19560AD9"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3D93302A" w14:textId="77777777" w:rsidR="00A22ABD" w:rsidRDefault="00000000">
            <w:pPr>
              <w:spacing w:after="80"/>
            </w:pPr>
            <w:r>
              <w:rPr>
                <w:b/>
                <w:bCs/>
                <w:color w:val="E37222"/>
              </w:rPr>
              <w:t xml:space="preserve">▸ </w:t>
            </w:r>
            <w:r>
              <w:rPr>
                <w:b/>
                <w:bCs/>
              </w:rPr>
              <w:t>Hinweis</w:t>
            </w:r>
          </w:p>
          <w:p w14:paraId="52AB868F" w14:textId="77777777" w:rsidR="00A22ABD" w:rsidRDefault="00000000">
            <w:pPr>
              <w:spacing w:line="300" w:lineRule="auto"/>
            </w:pPr>
            <w:r>
              <w:t>Geben Sie in den Stichworten keine personenbezogenen Daten ein. Die inhaltliche Verantwortung für das Gutachten verbleibt vollständig bei der Lehrkraft.</w:t>
            </w:r>
          </w:p>
        </w:tc>
      </w:tr>
    </w:tbl>
    <w:p w14:paraId="14EAD3B8" w14:textId="77777777" w:rsidR="00A22ABD" w:rsidRDefault="00000000">
      <w:pPr>
        <w:spacing w:before="240" w:after="80"/>
      </w:pPr>
      <w:r>
        <w:rPr>
          <w:b/>
          <w:bCs/>
          <w:sz w:val="26"/>
          <w:szCs w:val="26"/>
        </w:rPr>
        <w:t>10.2 Diktieren statt Tippen</w:t>
      </w:r>
    </w:p>
    <w:p w14:paraId="0FC8E5C1" w14:textId="77777777" w:rsidR="00A22ABD" w:rsidRDefault="00000000">
      <w:pPr>
        <w:spacing w:after="120" w:line="300" w:lineRule="auto"/>
        <w:jc w:val="both"/>
      </w:pPr>
      <w:r>
        <w:t>Moderne Betriebssysteme bringen eine Spracheingabe bereits mit:</w:t>
      </w:r>
    </w:p>
    <w:p w14:paraId="2922E186" w14:textId="77777777" w:rsidR="00A22ABD" w:rsidRDefault="00000000">
      <w:pPr>
        <w:pStyle w:val="Listenabsatz"/>
        <w:numPr>
          <w:ilvl w:val="0"/>
          <w:numId w:val="2"/>
        </w:numPr>
        <w:spacing w:after="80" w:line="300" w:lineRule="auto"/>
      </w:pPr>
      <w:r>
        <w:t>macOS: fn zweimal drücken</w:t>
      </w:r>
    </w:p>
    <w:p w14:paraId="3A32A54D" w14:textId="77777777" w:rsidR="00A22ABD" w:rsidRDefault="00000000">
      <w:pPr>
        <w:pStyle w:val="Listenabsatz"/>
        <w:numPr>
          <w:ilvl w:val="0"/>
          <w:numId w:val="2"/>
        </w:numPr>
        <w:spacing w:after="80" w:line="300" w:lineRule="auto"/>
      </w:pPr>
      <w:r>
        <w:t>Windows 10/11: Win + H</w:t>
      </w:r>
    </w:p>
    <w:p w14:paraId="43FC49B9" w14:textId="77777777" w:rsidR="00A22ABD" w:rsidRDefault="00000000">
      <w:pPr>
        <w:pStyle w:val="Listenabsatz"/>
        <w:numPr>
          <w:ilvl w:val="0"/>
          <w:numId w:val="2"/>
        </w:numPr>
        <w:spacing w:after="80" w:line="300" w:lineRule="auto"/>
      </w:pPr>
      <w:r>
        <w:t>iPadOS / iOS: Mikrofon-Symbol auf der Bildschirmtastatur</w:t>
      </w:r>
    </w:p>
    <w:p w14:paraId="40A51460" w14:textId="6078B7AB" w:rsidR="00A22ABD" w:rsidRDefault="00000000">
      <w:pPr>
        <w:spacing w:after="120" w:line="300" w:lineRule="auto"/>
        <w:jc w:val="both"/>
      </w:pPr>
      <w:r>
        <w:t>Spezialisierte Diktiersoftware (z. B. Wispr Flow</w:t>
      </w:r>
      <w:r w:rsidR="00273D7B">
        <w:t xml:space="preserve"> oder Paraspeech</w:t>
      </w:r>
      <w:r>
        <w:t>) kann für längere Texte sinnvoll sein. Es gelten dieselben Datenschutzhinweise wie beim KI-Einsatz.</w:t>
      </w:r>
    </w:p>
    <w:p w14:paraId="180B7C5F" w14:textId="77777777" w:rsidR="00A22ABD" w:rsidRDefault="00000000">
      <w:pPr>
        <w:pBdr>
          <w:bottom w:val="single" w:sz="12" w:space="4" w:color="E37222"/>
        </w:pBdr>
        <w:tabs>
          <w:tab w:val="left" w:pos="720"/>
        </w:tabs>
        <w:spacing w:before="360" w:after="60"/>
      </w:pPr>
      <w:r>
        <w:rPr>
          <w:b/>
          <w:bCs/>
          <w:sz w:val="32"/>
          <w:szCs w:val="32"/>
        </w:rPr>
        <w:t>11</w:t>
      </w:r>
      <w:r>
        <w:rPr>
          <w:b/>
          <w:bCs/>
          <w:sz w:val="32"/>
          <w:szCs w:val="32"/>
        </w:rPr>
        <w:tab/>
        <w:t>Word-Export</w:t>
      </w:r>
    </w:p>
    <w:p w14:paraId="0BAF05A8" w14:textId="77777777" w:rsidR="00A22ABD" w:rsidRDefault="00000000">
      <w:pPr>
        <w:spacing w:after="120" w:line="300" w:lineRule="auto"/>
        <w:jc w:val="both"/>
      </w:pPr>
      <w:r>
        <w:t>Über die Schaltfläche „Word-Datei“ oben rechts erzeugen Sie eine Word-Datei (.docx) mit allen Bewertungen, Punkten und freien Texten.</w:t>
      </w:r>
    </w:p>
    <w:p w14:paraId="5478B9E6" w14:textId="77777777" w:rsidR="00A22ABD" w:rsidRDefault="00000000">
      <w:pPr>
        <w:spacing w:after="120" w:line="300" w:lineRule="auto"/>
        <w:jc w:val="both"/>
      </w:pPr>
      <w:r>
        <w:rPr>
          <w:b/>
          <w:bCs/>
        </w:rPr>
        <w:t xml:space="preserve">Format: </w:t>
      </w:r>
      <w:r>
        <w:t>bearbeitbares Microsoft-Word-Dokument (.docx)</w:t>
      </w:r>
    </w:p>
    <w:p w14:paraId="36808B6A" w14:textId="77777777" w:rsidR="00A22ABD" w:rsidRDefault="00000000">
      <w:pPr>
        <w:spacing w:after="120" w:line="300" w:lineRule="auto"/>
        <w:jc w:val="both"/>
      </w:pPr>
      <w:r>
        <w:rPr>
          <w:b/>
          <w:bCs/>
        </w:rPr>
        <w:t xml:space="preserve">Dateiname: </w:t>
      </w:r>
      <w:r>
        <w:t>Gutachten_Nachname_Vorname.docx</w:t>
      </w:r>
    </w:p>
    <w:p w14:paraId="7C7139B2" w14:textId="77777777" w:rsidR="00A22ABD" w:rsidRDefault="00000000">
      <w:pPr>
        <w:spacing w:after="120" w:line="300" w:lineRule="auto"/>
        <w:jc w:val="both"/>
      </w:pPr>
      <w:r>
        <w:rPr>
          <w:b/>
          <w:bCs/>
        </w:rPr>
        <w:t xml:space="preserve">Inhalt: </w:t>
      </w:r>
      <w:r>
        <w:t>Deckblatt mit Schullogo (sofern aktiviert), Berechnungsübersicht, Unterschriftenfelder, vollständiges Gutachten zu allen drei Teilen</w:t>
      </w:r>
    </w:p>
    <w:p w14:paraId="1EBF59DA" w14:textId="77777777" w:rsidR="00A22ABD" w:rsidRDefault="00000000">
      <w:pPr>
        <w:spacing w:after="120" w:line="300" w:lineRule="auto"/>
        <w:jc w:val="both"/>
      </w:pPr>
      <w:r>
        <w:rPr>
          <w:b/>
          <w:bCs/>
        </w:rPr>
        <w:t xml:space="preserve">Layout: </w:t>
      </w:r>
      <w:r>
        <w:t>A4, Schriftart Calibri, Kopf- und Fußzeile mit Seitennummerierung</w:t>
      </w:r>
    </w:p>
    <w:p w14:paraId="2DE6C129" w14:textId="77777777" w:rsidR="00A22ABD" w:rsidRDefault="00000000">
      <w:pPr>
        <w:spacing w:after="120" w:line="300" w:lineRule="auto"/>
        <w:jc w:val="both"/>
      </w:pPr>
      <w:r>
        <w:t>Das Dokument lässt sich in Microsoft Word, LibreOffice Writer und Apple Pages öffnen und weiter bearbeiten.</w:t>
      </w:r>
    </w:p>
    <w:p w14:paraId="088D07E2" w14:textId="77777777" w:rsidR="00A22ABD" w:rsidRDefault="00000000">
      <w:pPr>
        <w:pBdr>
          <w:bottom w:val="single" w:sz="12" w:space="4" w:color="E37222"/>
        </w:pBdr>
        <w:tabs>
          <w:tab w:val="left" w:pos="720"/>
        </w:tabs>
        <w:spacing w:before="360" w:after="60"/>
      </w:pPr>
      <w:r>
        <w:rPr>
          <w:b/>
          <w:bCs/>
          <w:sz w:val="32"/>
          <w:szCs w:val="32"/>
        </w:rPr>
        <w:lastRenderedPageBreak/>
        <w:t>12</w:t>
      </w:r>
      <w:r>
        <w:rPr>
          <w:b/>
          <w:bCs/>
          <w:sz w:val="32"/>
          <w:szCs w:val="32"/>
        </w:rPr>
        <w:tab/>
        <w:t>Häufige Fragen</w:t>
      </w:r>
    </w:p>
    <w:p w14:paraId="25740F3E" w14:textId="77777777" w:rsidR="00A22ABD" w:rsidRDefault="00000000">
      <w:pPr>
        <w:spacing w:after="120" w:line="300" w:lineRule="auto"/>
        <w:jc w:val="both"/>
      </w:pPr>
      <w:r>
        <w:rPr>
          <w:b/>
          <w:bCs/>
        </w:rPr>
        <w:t>Werden meine Eingaben automatisch gespeichert?</w:t>
      </w:r>
    </w:p>
    <w:p w14:paraId="70798274" w14:textId="77777777" w:rsidR="00A22ABD" w:rsidRDefault="00000000">
      <w:pPr>
        <w:spacing w:after="120" w:line="300" w:lineRule="auto"/>
        <w:jc w:val="both"/>
      </w:pPr>
      <w:r>
        <w:t>Nein – der Browser speichert keine Eingaben automatisch. Nutzen Sie die Schaltfläche „Speichern“, um den aktuellen Stand als .gutachten.json-Datei zu sichern. So können Sie jederzeit weiterarbeiten, ohne von vorne beginnen zu müssen. Der Word-Export sichert die Eingaben als finales Dokument, ersetzt aber nicht die JSON-Sicherung für eine spätere Weiterbearbeitung.</w:t>
      </w:r>
    </w:p>
    <w:p w14:paraId="008EA08B" w14:textId="77777777" w:rsidR="00A22ABD" w:rsidRDefault="00000000">
      <w:pPr>
        <w:spacing w:after="120" w:line="300" w:lineRule="auto"/>
        <w:jc w:val="both"/>
      </w:pPr>
      <w:r>
        <w:rPr>
          <w:b/>
          <w:bCs/>
        </w:rPr>
        <w:t>Wie häufig sollte ich speichern?</w:t>
      </w:r>
    </w:p>
    <w:p w14:paraId="7AB1A678" w14:textId="77777777" w:rsidR="00A22ABD" w:rsidRDefault="00000000">
      <w:pPr>
        <w:spacing w:after="120" w:line="300" w:lineRule="auto"/>
        <w:jc w:val="both"/>
      </w:pPr>
      <w:r>
        <w:t>Empfehlung: nach dem Ausfüllen jedes Abschnitts. Insbesondere vor dem Schließen des Browsers oder einem Browser-Update. Nach dem Word-Export ebenfalls speichern, falls noch Korrekturen anfallen könnten.</w:t>
      </w:r>
    </w:p>
    <w:p w14:paraId="0C4C4FB8" w14:textId="77777777" w:rsidR="00A22ABD" w:rsidRDefault="00000000">
      <w:pPr>
        <w:spacing w:after="120" w:line="300" w:lineRule="auto"/>
        <w:jc w:val="both"/>
      </w:pPr>
      <w:r>
        <w:rPr>
          <w:b/>
          <w:bCs/>
        </w:rPr>
        <w:t>Was passiert, wenn ich „Neu“ anklicke?</w:t>
      </w:r>
    </w:p>
    <w:p w14:paraId="669B0A1A" w14:textId="77777777" w:rsidR="00A22ABD" w:rsidRDefault="00000000">
      <w:pPr>
        <w:spacing w:after="120" w:line="300" w:lineRule="auto"/>
        <w:jc w:val="both"/>
      </w:pPr>
      <w:r>
        <w:t>Die Schaltfläche „Neu“ setzt sämtliche Eingaben zurück. Es erfolgt eine Sicherheitsabfrage. Diese Funktion ist gedacht, um nach dem Word-Export zügig mit dem nächsten Gutachten beginnen zu können. Gespeicherte .gutachten.json-Dateien bleiben dabei unberührt.</w:t>
      </w:r>
    </w:p>
    <w:p w14:paraId="64DF737D" w14:textId="77777777" w:rsidR="00A22ABD" w:rsidRDefault="00000000">
      <w:pPr>
        <w:spacing w:after="120" w:line="300" w:lineRule="auto"/>
        <w:jc w:val="both"/>
      </w:pPr>
      <w:r>
        <w:rPr>
          <w:b/>
          <w:bCs/>
        </w:rPr>
        <w:t>Kann ich mehrere Gutachten gleichzeitig bearbeiten?</w:t>
      </w:r>
    </w:p>
    <w:p w14:paraId="6B5E7FC3" w14:textId="77777777" w:rsidR="00A22ABD" w:rsidRDefault="00000000">
      <w:pPr>
        <w:spacing w:after="120" w:line="300" w:lineRule="auto"/>
        <w:jc w:val="both"/>
      </w:pPr>
      <w:r>
        <w:t>Ja: einfach mehrere Browser-Tabs öffnen. Für jeden Tab vor dem Schließen speichern.</w:t>
      </w:r>
    </w:p>
    <w:p w14:paraId="235857A0" w14:textId="77777777" w:rsidR="00A22ABD" w:rsidRDefault="00000000">
      <w:pPr>
        <w:spacing w:after="120" w:line="300" w:lineRule="auto"/>
        <w:jc w:val="both"/>
      </w:pPr>
      <w:r>
        <w:rPr>
          <w:b/>
          <w:bCs/>
        </w:rPr>
        <w:t>Funktioniert das Werkzeug auf dem iPad?</w:t>
      </w:r>
    </w:p>
    <w:p w14:paraId="0F264B4D" w14:textId="77777777" w:rsidR="00A22ABD" w:rsidRDefault="00000000">
      <w:pPr>
        <w:spacing w:after="120" w:line="300" w:lineRule="auto"/>
        <w:jc w:val="both"/>
      </w:pPr>
      <w:r>
        <w:t>Ja. Das Werkzeug ist responsiv und funktioniert in allen modernen Browsern auch auf Tablets. Für eine angenehme Bearbeitung empfiehlt sich die Querformat-Ansicht. Drag-and-Drop für .gutachten.json-Dateien funktioniert auf Tablets möglicherweise nicht – nutzen Sie dort die Laden-Schaltfläche.</w:t>
      </w:r>
    </w:p>
    <w:p w14:paraId="4B2388F6" w14:textId="77777777" w:rsidR="00A22ABD" w:rsidRDefault="00000000">
      <w:pPr>
        <w:spacing w:after="120" w:line="300" w:lineRule="auto"/>
        <w:jc w:val="both"/>
      </w:pPr>
      <w:r>
        <w:rPr>
          <w:b/>
          <w:bCs/>
        </w:rPr>
        <w:t>Kann ich an einem Gutachten zu zweit arbeiten?</w:t>
      </w:r>
    </w:p>
    <w:p w14:paraId="2D4A23DA" w14:textId="77777777" w:rsidR="00A22ABD" w:rsidRDefault="00000000">
      <w:pPr>
        <w:spacing w:after="120" w:line="300" w:lineRule="auto"/>
        <w:jc w:val="both"/>
      </w:pPr>
      <w:r>
        <w:t>Eine echte Mehrfachbearbeitung ist nicht vorgesehen. Sie können jedoch eine gespeicherte .gutachten.json-Datei an eine Kollegin oder einen Kollegen weitergeben. Diese Person kann die Datei laden, ergänzen und ihren Stand wieder exportieren.</w:t>
      </w:r>
    </w:p>
    <w:p w14:paraId="104E3DE9" w14:textId="77777777" w:rsidR="00A22ABD" w:rsidRDefault="00000000">
      <w:pPr>
        <w:spacing w:after="120" w:line="300" w:lineRule="auto"/>
        <w:jc w:val="both"/>
      </w:pPr>
      <w:r>
        <w:rPr>
          <w:b/>
          <w:bCs/>
        </w:rPr>
        <w:t>Was bedeuten die orange markierten Stellen in der Vorschau?</w:t>
      </w:r>
    </w:p>
    <w:p w14:paraId="24A9D3B6" w14:textId="77777777" w:rsidR="00A22ABD" w:rsidRDefault="00000000">
      <w:pPr>
        <w:spacing w:after="120" w:line="300" w:lineRule="auto"/>
        <w:jc w:val="both"/>
      </w:pPr>
      <w:r>
        <w:t>Orange hervorgehobene Platzhalter weisen auf noch nicht ausgefüllte Felder hin. Diese Hervorhebung erscheint nicht im exportierten Word-Dokument.</w:t>
      </w:r>
    </w:p>
    <w:p w14:paraId="222BAC35" w14:textId="77777777" w:rsidR="00A22ABD" w:rsidRDefault="00000000">
      <w:pPr>
        <w:spacing w:after="120" w:line="300" w:lineRule="auto"/>
        <w:jc w:val="both"/>
      </w:pPr>
      <w:r>
        <w:rPr>
          <w:b/>
          <w:bCs/>
        </w:rPr>
        <w:t>Kann ich das Werkzeug ohne Internetverbindung nutzen?</w:t>
      </w:r>
    </w:p>
    <w:p w14:paraId="007A44D9" w14:textId="77777777" w:rsidR="00A22ABD" w:rsidRDefault="00000000">
      <w:pPr>
        <w:spacing w:after="120" w:line="300" w:lineRule="auto"/>
        <w:jc w:val="both"/>
      </w:pPr>
      <w:r>
        <w:t>Ja. Nach der Installation als Web-App (Kapitel 1) lädt das Werkzeug alle nötigen Ressourcen einmalig herunter und funktioniert anschließend vollständig offline. In der klassischen Nutzung als HTML-Datei wird beim ersten Öffnen einmalig Tailwind CSS aus dem Internet nachgeladen; bei fehlender Verbindung erscheint die Oberfläche weniger hübsch, alle Funktionen bleiben jedoch verfügbar.</w:t>
      </w:r>
    </w:p>
    <w:p w14:paraId="6DAFF945" w14:textId="77777777" w:rsidR="00A22ABD" w:rsidRDefault="00000000">
      <w:pPr>
        <w:spacing w:after="120" w:line="300" w:lineRule="auto"/>
        <w:jc w:val="both"/>
      </w:pPr>
      <w:r>
        <w:rPr>
          <w:b/>
          <w:bCs/>
        </w:rPr>
        <w:t>Die installierte App zeigt eine alte Version. Wie erzwinge ich ein Update?</w:t>
      </w:r>
    </w:p>
    <w:p w14:paraId="12FAAE00" w14:textId="77777777" w:rsidR="00A22ABD" w:rsidRDefault="00000000">
      <w:pPr>
        <w:spacing w:after="120" w:line="300" w:lineRule="auto"/>
        <w:jc w:val="both"/>
      </w:pPr>
      <w:r>
        <w:t xml:space="preserve">In der Regel prüft die App beim nächsten Start mit Internetverbindung selbstständig, ob eine neue Version vorliegt, und aktualisiert sich im Hintergrund. Wird die Aktualisierung nicht übernommen, hilft </w:t>
      </w:r>
      <w:r>
        <w:lastRenderedPageBreak/>
        <w:t>es, die App einmal vollständig zu schließen (auf dem iPad durch Hochwischen aus der App-Übersicht) und erneut zu öffnen. In hartnäckigen Fällen lässt sich die App deinstallieren und über Kapitel 1 neu installieren.</w:t>
      </w:r>
    </w:p>
    <w:p w14:paraId="35F2049A" w14:textId="77777777" w:rsidR="00A22ABD" w:rsidRDefault="00000000">
      <w:pPr>
        <w:spacing w:after="120" w:line="300" w:lineRule="auto"/>
        <w:jc w:val="both"/>
      </w:pPr>
      <w:r>
        <w:rPr>
          <w:b/>
          <w:bCs/>
        </w:rPr>
        <w:t>Die Word-Datei öffnet sich nicht korrekt.</w:t>
      </w:r>
    </w:p>
    <w:p w14:paraId="20A7502E" w14:textId="77777777" w:rsidR="00A22ABD" w:rsidRDefault="00000000">
      <w:pPr>
        <w:spacing w:after="120" w:line="300" w:lineRule="auto"/>
        <w:jc w:val="both"/>
      </w:pPr>
      <w:r>
        <w:t>Bitte mit Microsoft Word oder LibreOffice öffnen. Google Docs kann .docx-Dateien mit komplexer Formatierung manchmal fehlerhaft darstellen.</w:t>
      </w:r>
    </w:p>
    <w:p w14:paraId="4DBBAC15" w14:textId="77777777" w:rsidR="00A22ABD" w:rsidRDefault="00000000">
      <w:pPr>
        <w:pBdr>
          <w:bottom w:val="single" w:sz="12" w:space="4" w:color="E37222"/>
        </w:pBdr>
        <w:tabs>
          <w:tab w:val="left" w:pos="720"/>
        </w:tabs>
        <w:spacing w:before="360" w:after="60"/>
      </w:pPr>
      <w:r>
        <w:rPr>
          <w:b/>
          <w:bCs/>
          <w:sz w:val="32"/>
          <w:szCs w:val="32"/>
        </w:rPr>
        <w:t>13</w:t>
      </w:r>
      <w:r>
        <w:rPr>
          <w:b/>
          <w:bCs/>
          <w:sz w:val="32"/>
          <w:szCs w:val="32"/>
        </w:rPr>
        <w:tab/>
        <w:t>Datenschutz und Speicherung</w:t>
      </w:r>
    </w:p>
    <w:p w14:paraId="33C58463" w14:textId="77777777" w:rsidR="00A22ABD" w:rsidRDefault="00000000">
      <w:pPr>
        <w:spacing w:after="120" w:line="300" w:lineRule="auto"/>
        <w:jc w:val="both"/>
      </w:pPr>
      <w:r>
        <w:t>Das Werkzeug verarbeitet personenbezogene Daten ausschließlich lokal im Browser. Es findet keinerlei Übertragung an externe Server statt.</w:t>
      </w:r>
    </w:p>
    <w:p w14:paraId="3B748CE0" w14:textId="77777777" w:rsidR="00A22ABD" w:rsidRDefault="00000000">
      <w:pPr>
        <w:pStyle w:val="Listenabsatz"/>
        <w:numPr>
          <w:ilvl w:val="0"/>
          <w:numId w:val="2"/>
        </w:numPr>
        <w:spacing w:after="80" w:line="300" w:lineRule="auto"/>
      </w:pPr>
      <w:r>
        <w:t>Die eingegebenen Namen, Daten und Bewertungen verlassen den eigenen Rechner nicht.</w:t>
      </w:r>
    </w:p>
    <w:p w14:paraId="014D4F16" w14:textId="77777777" w:rsidR="00A22ABD" w:rsidRDefault="00000000">
      <w:pPr>
        <w:pStyle w:val="Listenabsatz"/>
        <w:numPr>
          <w:ilvl w:val="0"/>
          <w:numId w:val="2"/>
        </w:numPr>
        <w:spacing w:after="80" w:line="300" w:lineRule="auto"/>
      </w:pPr>
      <w:r>
        <w:t>Es werden keine Cookies gesetzt und keine Tracking-Mechanismen eingesetzt.</w:t>
      </w:r>
    </w:p>
    <w:p w14:paraId="0DDFAD14" w14:textId="77777777" w:rsidR="00A22ABD" w:rsidRDefault="00000000">
      <w:pPr>
        <w:pStyle w:val="Listenabsatz"/>
        <w:numPr>
          <w:ilvl w:val="0"/>
          <w:numId w:val="2"/>
        </w:numPr>
        <w:spacing w:after="80" w:line="300" w:lineRule="auto"/>
      </w:pPr>
      <w:r>
        <w:t>Gespeicherte .gutachten.json-Dateien verbleiben lokal auf dem Rechner der Lehrkraft. Sie sollten wie andere Prüfungsunterlagen behandelt werden (kein Versand über unsichere Kanäle, kein Upload in nicht dienstlich freigegebene Cloud-Dienste).</w:t>
      </w:r>
    </w:p>
    <w:p w14:paraId="58FF8094" w14:textId="77777777" w:rsidR="00A22ABD" w:rsidRDefault="00000000">
      <w:pPr>
        <w:pStyle w:val="Listenabsatz"/>
        <w:numPr>
          <w:ilvl w:val="0"/>
          <w:numId w:val="2"/>
        </w:numPr>
        <w:spacing w:after="80" w:line="300" w:lineRule="auto"/>
      </w:pPr>
      <w:r>
        <w:t>Lediglich beim ersten Öffnen wird Tailwind CSS von tailwindcss.com abgerufen. Hierbei kann die IP-Adresse der nutzenden Lehrkraft an den Anbieter übermittelt werden. Eine Übermittlung von Bewertungsinhalten findet dabei nicht statt.</w:t>
      </w:r>
    </w:p>
    <w:p w14:paraId="5CF48877" w14:textId="77777777" w:rsidR="00A22ABD" w:rsidRDefault="00A22ABD">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A22ABD" w14:paraId="56B6C8E7" w14:textId="77777777">
        <w:tblPrEx>
          <w:tblCellMar>
            <w:top w:w="0" w:type="dxa"/>
            <w:bottom w:w="0" w:type="dxa"/>
          </w:tblCellMar>
        </w:tblPrEx>
        <w:tc>
          <w:tcPr>
            <w:tcW w:w="9026" w:type="dxa"/>
            <w:tcBorders>
              <w:top w:val="single" w:sz="4" w:space="0" w:color="E37222"/>
              <w:left w:val="single" w:sz="24" w:space="0" w:color="E37222"/>
              <w:bottom w:val="single" w:sz="4" w:space="0" w:color="E37222"/>
              <w:right w:val="single" w:sz="4" w:space="0" w:color="E37222"/>
            </w:tcBorders>
            <w:shd w:val="clear" w:color="auto" w:fill="FFF4EA"/>
            <w:tcMar>
              <w:top w:w="160" w:type="dxa"/>
              <w:left w:w="220" w:type="dxa"/>
              <w:bottom w:w="160" w:type="dxa"/>
              <w:right w:w="220" w:type="dxa"/>
            </w:tcMar>
          </w:tcPr>
          <w:p w14:paraId="2C242588" w14:textId="77777777" w:rsidR="00A22ABD" w:rsidRDefault="00000000">
            <w:pPr>
              <w:spacing w:after="80"/>
            </w:pPr>
            <w:r>
              <w:rPr>
                <w:b/>
                <w:bCs/>
                <w:color w:val="E37222"/>
              </w:rPr>
              <w:t xml:space="preserve">▸ </w:t>
            </w:r>
            <w:r>
              <w:rPr>
                <w:b/>
                <w:bCs/>
              </w:rPr>
              <w:t>Hinweis</w:t>
            </w:r>
          </w:p>
          <w:p w14:paraId="01C0A641" w14:textId="77777777" w:rsidR="00A22ABD" w:rsidRDefault="00000000">
            <w:pPr>
              <w:spacing w:line="300" w:lineRule="auto"/>
            </w:pPr>
            <w:r>
              <w:t>Die Verantwortung für die Verarbeitung personenbezogener Daten im schulischen Kontext liegt bei der jeweiligen Schule und der nutzenden Lehrkraft. Beachten Sie die einschlägigen Bestimmungen Ihres Bundeslandes.</w:t>
            </w:r>
          </w:p>
        </w:tc>
      </w:tr>
    </w:tbl>
    <w:p w14:paraId="3D463617" w14:textId="77777777" w:rsidR="00A22ABD" w:rsidRDefault="00A22ABD">
      <w:pPr>
        <w:spacing w:after="60"/>
      </w:pPr>
    </w:p>
    <w:p w14:paraId="4995D79D" w14:textId="77777777" w:rsidR="00A22ABD" w:rsidRDefault="00000000">
      <w:pPr>
        <w:spacing w:after="120" w:line="300" w:lineRule="auto"/>
        <w:jc w:val="both"/>
      </w:pPr>
      <w:r>
        <w:rPr>
          <w:b/>
          <w:bCs/>
        </w:rPr>
        <w:t xml:space="preserve">Hinweis zu externen Diensten: </w:t>
      </w:r>
      <w:r>
        <w:t>Falls Sie KI-Werkzeuge oder Diktiersoftware verwenden (Kapitel 10), findet eine Verarbeitung durch die jeweiligen Anbieter statt. Die dortigen Datenschutzbestimmungen gelten zusätzlich.</w:t>
      </w:r>
    </w:p>
    <w:sectPr w:rsidR="00A22ABD">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AB52C" w14:textId="77777777" w:rsidR="00A54EDE" w:rsidRDefault="00A54EDE">
      <w:r>
        <w:separator/>
      </w:r>
    </w:p>
  </w:endnote>
  <w:endnote w:type="continuationSeparator" w:id="0">
    <w:p w14:paraId="288EA5B5" w14:textId="77777777" w:rsidR="00A54EDE" w:rsidRDefault="00A5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DB88" w14:textId="77777777" w:rsidR="00A22ABD" w:rsidRDefault="00000000">
    <w:pPr>
      <w:jc w:val="center"/>
    </w:pPr>
    <w:r>
      <w:rPr>
        <w:color w:val="808080"/>
        <w:sz w:val="18"/>
        <w:szCs w:val="18"/>
      </w:rPr>
      <w:t xml:space="preserve">Seite </w:t>
    </w:r>
    <w:r>
      <w:rPr>
        <w:color w:val="808080"/>
        <w:sz w:val="18"/>
        <w:szCs w:val="18"/>
      </w:rPr>
      <w:fldChar w:fldCharType="begin"/>
    </w:r>
    <w:r>
      <w:rPr>
        <w:color w:val="808080"/>
        <w:sz w:val="18"/>
        <w:szCs w:val="18"/>
      </w:rPr>
      <w:instrText>PAGE</w:instrText>
    </w:r>
    <w:r>
      <w:rPr>
        <w:color w:val="808080"/>
        <w:sz w:val="18"/>
        <w:szCs w:val="18"/>
      </w:rPr>
      <w:fldChar w:fldCharType="separate"/>
    </w:r>
    <w:r w:rsidR="00DE105D">
      <w:rPr>
        <w:noProof/>
        <w:color w:val="808080"/>
        <w:sz w:val="18"/>
        <w:szCs w:val="18"/>
      </w:rPr>
      <w:t>1</w:t>
    </w:r>
    <w:r>
      <w:rPr>
        <w:color w:val="808080"/>
        <w:sz w:val="18"/>
        <w:szCs w:val="18"/>
      </w:rPr>
      <w:fldChar w:fldCharType="end"/>
    </w:r>
    <w:r>
      <w:rPr>
        <w:color w:val="808080"/>
        <w:sz w:val="18"/>
        <w:szCs w:val="18"/>
      </w:rPr>
      <w:t xml:space="preserve"> von </w:t>
    </w:r>
    <w:r>
      <w:rPr>
        <w:color w:val="808080"/>
        <w:sz w:val="18"/>
        <w:szCs w:val="18"/>
      </w:rPr>
      <w:fldChar w:fldCharType="begin"/>
    </w:r>
    <w:r>
      <w:rPr>
        <w:color w:val="808080"/>
        <w:sz w:val="18"/>
        <w:szCs w:val="18"/>
      </w:rPr>
      <w:instrText>NUMPAGES</w:instrText>
    </w:r>
    <w:r>
      <w:rPr>
        <w:color w:val="808080"/>
        <w:sz w:val="18"/>
        <w:szCs w:val="18"/>
      </w:rPr>
      <w:fldChar w:fldCharType="separate"/>
    </w:r>
    <w:r w:rsidR="00DE105D">
      <w:rPr>
        <w:noProof/>
        <w:color w:val="808080"/>
        <w:sz w:val="18"/>
        <w:szCs w:val="18"/>
      </w:rPr>
      <w:t>2</w:t>
    </w:r>
    <w:r>
      <w:rPr>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2070A" w14:textId="77777777" w:rsidR="00A54EDE" w:rsidRDefault="00A54EDE">
      <w:r>
        <w:separator/>
      </w:r>
    </w:p>
  </w:footnote>
  <w:footnote w:type="continuationSeparator" w:id="0">
    <w:p w14:paraId="410521DE" w14:textId="77777777" w:rsidR="00A54EDE" w:rsidRDefault="00A5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95D3" w14:textId="77777777" w:rsidR="00A22ABD" w:rsidRDefault="00000000">
    <w:pPr>
      <w:jc w:val="right"/>
    </w:pPr>
    <w:r>
      <w:rPr>
        <w:color w:val="808080"/>
        <w:sz w:val="18"/>
        <w:szCs w:val="18"/>
      </w:rPr>
      <w:t>Anleitung Abiturgutachten-Generator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C1FA3"/>
    <w:multiLevelType w:val="hybridMultilevel"/>
    <w:tmpl w:val="B6FEA7F4"/>
    <w:lvl w:ilvl="0" w:tplc="E7B00562">
      <w:start w:val="1"/>
      <w:numFmt w:val="bullet"/>
      <w:lvlText w:val="●"/>
      <w:lvlJc w:val="left"/>
      <w:pPr>
        <w:ind w:left="720" w:hanging="360"/>
      </w:pPr>
    </w:lvl>
    <w:lvl w:ilvl="1" w:tplc="B956C69E">
      <w:start w:val="1"/>
      <w:numFmt w:val="bullet"/>
      <w:lvlText w:val="○"/>
      <w:lvlJc w:val="left"/>
      <w:pPr>
        <w:ind w:left="1440" w:hanging="360"/>
      </w:pPr>
    </w:lvl>
    <w:lvl w:ilvl="2" w:tplc="5780552A">
      <w:start w:val="1"/>
      <w:numFmt w:val="bullet"/>
      <w:lvlText w:val="■"/>
      <w:lvlJc w:val="left"/>
      <w:pPr>
        <w:ind w:left="2160" w:hanging="360"/>
      </w:pPr>
    </w:lvl>
    <w:lvl w:ilvl="3" w:tplc="C56C58D0">
      <w:start w:val="1"/>
      <w:numFmt w:val="bullet"/>
      <w:lvlText w:val="●"/>
      <w:lvlJc w:val="left"/>
      <w:pPr>
        <w:ind w:left="2880" w:hanging="360"/>
      </w:pPr>
    </w:lvl>
    <w:lvl w:ilvl="4" w:tplc="788022D2">
      <w:start w:val="1"/>
      <w:numFmt w:val="bullet"/>
      <w:lvlText w:val="○"/>
      <w:lvlJc w:val="left"/>
      <w:pPr>
        <w:ind w:left="3600" w:hanging="360"/>
      </w:pPr>
    </w:lvl>
    <w:lvl w:ilvl="5" w:tplc="384E622E">
      <w:start w:val="1"/>
      <w:numFmt w:val="bullet"/>
      <w:lvlText w:val="■"/>
      <w:lvlJc w:val="left"/>
      <w:pPr>
        <w:ind w:left="4320" w:hanging="360"/>
      </w:pPr>
    </w:lvl>
    <w:lvl w:ilvl="6" w:tplc="D3D6740C">
      <w:start w:val="1"/>
      <w:numFmt w:val="bullet"/>
      <w:lvlText w:val="●"/>
      <w:lvlJc w:val="left"/>
      <w:pPr>
        <w:ind w:left="5040" w:hanging="360"/>
      </w:pPr>
    </w:lvl>
    <w:lvl w:ilvl="7" w:tplc="51BAA2D8">
      <w:start w:val="1"/>
      <w:numFmt w:val="bullet"/>
      <w:lvlText w:val="●"/>
      <w:lvlJc w:val="left"/>
      <w:pPr>
        <w:ind w:left="5760" w:hanging="360"/>
      </w:pPr>
    </w:lvl>
    <w:lvl w:ilvl="8" w:tplc="B79A173A">
      <w:start w:val="1"/>
      <w:numFmt w:val="bullet"/>
      <w:lvlText w:val="●"/>
      <w:lvlJc w:val="left"/>
      <w:pPr>
        <w:ind w:left="6480" w:hanging="360"/>
      </w:pPr>
    </w:lvl>
  </w:abstractNum>
  <w:abstractNum w:abstractNumId="1" w15:restartNumberingAfterBreak="0">
    <w:nsid w:val="14343A5E"/>
    <w:multiLevelType w:val="hybridMultilevel"/>
    <w:tmpl w:val="CC6A92C6"/>
    <w:lvl w:ilvl="0" w:tplc="25883A34">
      <w:start w:val="1"/>
      <w:numFmt w:val="decimal"/>
      <w:lvlText w:val="%1."/>
      <w:lvlJc w:val="left"/>
      <w:pPr>
        <w:ind w:left="720" w:hanging="360"/>
      </w:pPr>
    </w:lvl>
    <w:lvl w:ilvl="1" w:tplc="3CC01D90">
      <w:numFmt w:val="decimal"/>
      <w:lvlText w:val=""/>
      <w:lvlJc w:val="left"/>
    </w:lvl>
    <w:lvl w:ilvl="2" w:tplc="6F64EC22">
      <w:numFmt w:val="decimal"/>
      <w:lvlText w:val=""/>
      <w:lvlJc w:val="left"/>
    </w:lvl>
    <w:lvl w:ilvl="3" w:tplc="74F2006C">
      <w:numFmt w:val="decimal"/>
      <w:lvlText w:val=""/>
      <w:lvlJc w:val="left"/>
    </w:lvl>
    <w:lvl w:ilvl="4" w:tplc="B0B6A812">
      <w:numFmt w:val="decimal"/>
      <w:lvlText w:val=""/>
      <w:lvlJc w:val="left"/>
    </w:lvl>
    <w:lvl w:ilvl="5" w:tplc="3C7CB2FA">
      <w:numFmt w:val="decimal"/>
      <w:lvlText w:val=""/>
      <w:lvlJc w:val="left"/>
    </w:lvl>
    <w:lvl w:ilvl="6" w:tplc="9BE89B22">
      <w:numFmt w:val="decimal"/>
      <w:lvlText w:val=""/>
      <w:lvlJc w:val="left"/>
    </w:lvl>
    <w:lvl w:ilvl="7" w:tplc="DF705360">
      <w:numFmt w:val="decimal"/>
      <w:lvlText w:val=""/>
      <w:lvlJc w:val="left"/>
    </w:lvl>
    <w:lvl w:ilvl="8" w:tplc="DE5AE788">
      <w:numFmt w:val="decimal"/>
      <w:lvlText w:val=""/>
      <w:lvlJc w:val="left"/>
    </w:lvl>
  </w:abstractNum>
  <w:abstractNum w:abstractNumId="2" w15:restartNumberingAfterBreak="0">
    <w:nsid w:val="159B0A7E"/>
    <w:multiLevelType w:val="hybridMultilevel"/>
    <w:tmpl w:val="7902A798"/>
    <w:lvl w:ilvl="0" w:tplc="DC2AE70A">
      <w:start w:val="1"/>
      <w:numFmt w:val="decimal"/>
      <w:lvlText w:val="%1."/>
      <w:lvlJc w:val="left"/>
      <w:pPr>
        <w:ind w:left="720" w:hanging="360"/>
      </w:pPr>
    </w:lvl>
    <w:lvl w:ilvl="1" w:tplc="FA88F6C2">
      <w:numFmt w:val="decimal"/>
      <w:lvlText w:val=""/>
      <w:lvlJc w:val="left"/>
    </w:lvl>
    <w:lvl w:ilvl="2" w:tplc="0DCC97E8">
      <w:numFmt w:val="decimal"/>
      <w:lvlText w:val=""/>
      <w:lvlJc w:val="left"/>
    </w:lvl>
    <w:lvl w:ilvl="3" w:tplc="0F1CF21E">
      <w:numFmt w:val="decimal"/>
      <w:lvlText w:val=""/>
      <w:lvlJc w:val="left"/>
    </w:lvl>
    <w:lvl w:ilvl="4" w:tplc="062627B8">
      <w:numFmt w:val="decimal"/>
      <w:lvlText w:val=""/>
      <w:lvlJc w:val="left"/>
    </w:lvl>
    <w:lvl w:ilvl="5" w:tplc="08BC673A">
      <w:numFmt w:val="decimal"/>
      <w:lvlText w:val=""/>
      <w:lvlJc w:val="left"/>
    </w:lvl>
    <w:lvl w:ilvl="6" w:tplc="B6544F44">
      <w:numFmt w:val="decimal"/>
      <w:lvlText w:val=""/>
      <w:lvlJc w:val="left"/>
    </w:lvl>
    <w:lvl w:ilvl="7" w:tplc="6D528154">
      <w:numFmt w:val="decimal"/>
      <w:lvlText w:val=""/>
      <w:lvlJc w:val="left"/>
    </w:lvl>
    <w:lvl w:ilvl="8" w:tplc="FFCC0054">
      <w:numFmt w:val="decimal"/>
      <w:lvlText w:val=""/>
      <w:lvlJc w:val="left"/>
    </w:lvl>
  </w:abstractNum>
  <w:abstractNum w:abstractNumId="3" w15:restartNumberingAfterBreak="0">
    <w:nsid w:val="242D028C"/>
    <w:multiLevelType w:val="hybridMultilevel"/>
    <w:tmpl w:val="C31A3EE8"/>
    <w:lvl w:ilvl="0" w:tplc="B42ED7BE">
      <w:start w:val="1"/>
      <w:numFmt w:val="decimal"/>
      <w:lvlText w:val="%1."/>
      <w:lvlJc w:val="left"/>
      <w:pPr>
        <w:ind w:left="720" w:hanging="360"/>
      </w:pPr>
    </w:lvl>
    <w:lvl w:ilvl="1" w:tplc="17DEE7B8">
      <w:numFmt w:val="decimal"/>
      <w:lvlText w:val=""/>
      <w:lvlJc w:val="left"/>
    </w:lvl>
    <w:lvl w:ilvl="2" w:tplc="19F06AE4">
      <w:numFmt w:val="decimal"/>
      <w:lvlText w:val=""/>
      <w:lvlJc w:val="left"/>
    </w:lvl>
    <w:lvl w:ilvl="3" w:tplc="05EECAB4">
      <w:numFmt w:val="decimal"/>
      <w:lvlText w:val=""/>
      <w:lvlJc w:val="left"/>
    </w:lvl>
    <w:lvl w:ilvl="4" w:tplc="14EC09F4">
      <w:numFmt w:val="decimal"/>
      <w:lvlText w:val=""/>
      <w:lvlJc w:val="left"/>
    </w:lvl>
    <w:lvl w:ilvl="5" w:tplc="5AD655CA">
      <w:numFmt w:val="decimal"/>
      <w:lvlText w:val=""/>
      <w:lvlJc w:val="left"/>
    </w:lvl>
    <w:lvl w:ilvl="6" w:tplc="C194F200">
      <w:numFmt w:val="decimal"/>
      <w:lvlText w:val=""/>
      <w:lvlJc w:val="left"/>
    </w:lvl>
    <w:lvl w:ilvl="7" w:tplc="7B468CA0">
      <w:numFmt w:val="decimal"/>
      <w:lvlText w:val=""/>
      <w:lvlJc w:val="left"/>
    </w:lvl>
    <w:lvl w:ilvl="8" w:tplc="367CA2A4">
      <w:numFmt w:val="decimal"/>
      <w:lvlText w:val=""/>
      <w:lvlJc w:val="left"/>
    </w:lvl>
  </w:abstractNum>
  <w:abstractNum w:abstractNumId="4" w15:restartNumberingAfterBreak="0">
    <w:nsid w:val="27CB42C9"/>
    <w:multiLevelType w:val="hybridMultilevel"/>
    <w:tmpl w:val="967A59C4"/>
    <w:lvl w:ilvl="0" w:tplc="4AF2A87C">
      <w:start w:val="1"/>
      <w:numFmt w:val="bullet"/>
      <w:lvlText w:val="•"/>
      <w:lvlJc w:val="left"/>
      <w:pPr>
        <w:ind w:left="720" w:hanging="360"/>
      </w:pPr>
    </w:lvl>
    <w:lvl w:ilvl="1" w:tplc="094639FA">
      <w:numFmt w:val="decimal"/>
      <w:lvlText w:val=""/>
      <w:lvlJc w:val="left"/>
    </w:lvl>
    <w:lvl w:ilvl="2" w:tplc="8DA6ACB8">
      <w:numFmt w:val="decimal"/>
      <w:lvlText w:val=""/>
      <w:lvlJc w:val="left"/>
    </w:lvl>
    <w:lvl w:ilvl="3" w:tplc="911E90E4">
      <w:numFmt w:val="decimal"/>
      <w:lvlText w:val=""/>
      <w:lvlJc w:val="left"/>
    </w:lvl>
    <w:lvl w:ilvl="4" w:tplc="E8D27764">
      <w:numFmt w:val="decimal"/>
      <w:lvlText w:val=""/>
      <w:lvlJc w:val="left"/>
    </w:lvl>
    <w:lvl w:ilvl="5" w:tplc="D256C00C">
      <w:numFmt w:val="decimal"/>
      <w:lvlText w:val=""/>
      <w:lvlJc w:val="left"/>
    </w:lvl>
    <w:lvl w:ilvl="6" w:tplc="3B0CB3CC">
      <w:numFmt w:val="decimal"/>
      <w:lvlText w:val=""/>
      <w:lvlJc w:val="left"/>
    </w:lvl>
    <w:lvl w:ilvl="7" w:tplc="261EB188">
      <w:numFmt w:val="decimal"/>
      <w:lvlText w:val=""/>
      <w:lvlJc w:val="left"/>
    </w:lvl>
    <w:lvl w:ilvl="8" w:tplc="3872E288">
      <w:numFmt w:val="decimal"/>
      <w:lvlText w:val=""/>
      <w:lvlJc w:val="left"/>
    </w:lvl>
  </w:abstractNum>
  <w:abstractNum w:abstractNumId="5" w15:restartNumberingAfterBreak="0">
    <w:nsid w:val="48885BE2"/>
    <w:multiLevelType w:val="hybridMultilevel"/>
    <w:tmpl w:val="90326158"/>
    <w:lvl w:ilvl="0" w:tplc="DABCF28E">
      <w:start w:val="1"/>
      <w:numFmt w:val="decimal"/>
      <w:lvlText w:val="%1."/>
      <w:lvlJc w:val="left"/>
      <w:pPr>
        <w:ind w:left="720" w:hanging="360"/>
      </w:pPr>
    </w:lvl>
    <w:lvl w:ilvl="1" w:tplc="C9BCA7A0">
      <w:numFmt w:val="decimal"/>
      <w:lvlText w:val=""/>
      <w:lvlJc w:val="left"/>
    </w:lvl>
    <w:lvl w:ilvl="2" w:tplc="225814E2">
      <w:numFmt w:val="decimal"/>
      <w:lvlText w:val=""/>
      <w:lvlJc w:val="left"/>
    </w:lvl>
    <w:lvl w:ilvl="3" w:tplc="5F747E8E">
      <w:numFmt w:val="decimal"/>
      <w:lvlText w:val=""/>
      <w:lvlJc w:val="left"/>
    </w:lvl>
    <w:lvl w:ilvl="4" w:tplc="6C5A2FAA">
      <w:numFmt w:val="decimal"/>
      <w:lvlText w:val=""/>
      <w:lvlJc w:val="left"/>
    </w:lvl>
    <w:lvl w:ilvl="5" w:tplc="0D8056BA">
      <w:numFmt w:val="decimal"/>
      <w:lvlText w:val=""/>
      <w:lvlJc w:val="left"/>
    </w:lvl>
    <w:lvl w:ilvl="6" w:tplc="7D5EEAB8">
      <w:numFmt w:val="decimal"/>
      <w:lvlText w:val=""/>
      <w:lvlJc w:val="left"/>
    </w:lvl>
    <w:lvl w:ilvl="7" w:tplc="5C8CE01E">
      <w:numFmt w:val="decimal"/>
      <w:lvlText w:val=""/>
      <w:lvlJc w:val="left"/>
    </w:lvl>
    <w:lvl w:ilvl="8" w:tplc="8FECE244">
      <w:numFmt w:val="decimal"/>
      <w:lvlText w:val=""/>
      <w:lvlJc w:val="left"/>
    </w:lvl>
  </w:abstractNum>
  <w:abstractNum w:abstractNumId="6" w15:restartNumberingAfterBreak="0">
    <w:nsid w:val="4B8D18A0"/>
    <w:multiLevelType w:val="hybridMultilevel"/>
    <w:tmpl w:val="D304D352"/>
    <w:lvl w:ilvl="0" w:tplc="9A7E6D22">
      <w:start w:val="1"/>
      <w:numFmt w:val="decimal"/>
      <w:lvlText w:val="%1."/>
      <w:lvlJc w:val="left"/>
      <w:pPr>
        <w:ind w:left="720" w:hanging="360"/>
      </w:pPr>
    </w:lvl>
    <w:lvl w:ilvl="1" w:tplc="43B00190">
      <w:numFmt w:val="decimal"/>
      <w:lvlText w:val=""/>
      <w:lvlJc w:val="left"/>
    </w:lvl>
    <w:lvl w:ilvl="2" w:tplc="34E0C7E2">
      <w:numFmt w:val="decimal"/>
      <w:lvlText w:val=""/>
      <w:lvlJc w:val="left"/>
    </w:lvl>
    <w:lvl w:ilvl="3" w:tplc="A8C2B316">
      <w:numFmt w:val="decimal"/>
      <w:lvlText w:val=""/>
      <w:lvlJc w:val="left"/>
    </w:lvl>
    <w:lvl w:ilvl="4" w:tplc="DC949F40">
      <w:numFmt w:val="decimal"/>
      <w:lvlText w:val=""/>
      <w:lvlJc w:val="left"/>
    </w:lvl>
    <w:lvl w:ilvl="5" w:tplc="F73A1BD2">
      <w:numFmt w:val="decimal"/>
      <w:lvlText w:val=""/>
      <w:lvlJc w:val="left"/>
    </w:lvl>
    <w:lvl w:ilvl="6" w:tplc="C7CC66F2">
      <w:numFmt w:val="decimal"/>
      <w:lvlText w:val=""/>
      <w:lvlJc w:val="left"/>
    </w:lvl>
    <w:lvl w:ilvl="7" w:tplc="C93456D2">
      <w:numFmt w:val="decimal"/>
      <w:lvlText w:val=""/>
      <w:lvlJc w:val="left"/>
    </w:lvl>
    <w:lvl w:ilvl="8" w:tplc="0672B35E">
      <w:numFmt w:val="decimal"/>
      <w:lvlText w:val=""/>
      <w:lvlJc w:val="left"/>
    </w:lvl>
  </w:abstractNum>
  <w:abstractNum w:abstractNumId="7" w15:restartNumberingAfterBreak="0">
    <w:nsid w:val="4B967187"/>
    <w:multiLevelType w:val="hybridMultilevel"/>
    <w:tmpl w:val="10B2F03E"/>
    <w:lvl w:ilvl="0" w:tplc="39C00AB0">
      <w:start w:val="1"/>
      <w:numFmt w:val="decimal"/>
      <w:lvlText w:val="%1."/>
      <w:lvlJc w:val="left"/>
      <w:pPr>
        <w:ind w:left="720" w:hanging="360"/>
      </w:pPr>
    </w:lvl>
    <w:lvl w:ilvl="1" w:tplc="3BB4B64A">
      <w:numFmt w:val="decimal"/>
      <w:lvlText w:val=""/>
      <w:lvlJc w:val="left"/>
    </w:lvl>
    <w:lvl w:ilvl="2" w:tplc="C7DCBD70">
      <w:numFmt w:val="decimal"/>
      <w:lvlText w:val=""/>
      <w:lvlJc w:val="left"/>
    </w:lvl>
    <w:lvl w:ilvl="3" w:tplc="E66C4C8C">
      <w:numFmt w:val="decimal"/>
      <w:lvlText w:val=""/>
      <w:lvlJc w:val="left"/>
    </w:lvl>
    <w:lvl w:ilvl="4" w:tplc="EDAEADFE">
      <w:numFmt w:val="decimal"/>
      <w:lvlText w:val=""/>
      <w:lvlJc w:val="left"/>
    </w:lvl>
    <w:lvl w:ilvl="5" w:tplc="7AD010D0">
      <w:numFmt w:val="decimal"/>
      <w:lvlText w:val=""/>
      <w:lvlJc w:val="left"/>
    </w:lvl>
    <w:lvl w:ilvl="6" w:tplc="7BF02AE8">
      <w:numFmt w:val="decimal"/>
      <w:lvlText w:val=""/>
      <w:lvlJc w:val="left"/>
    </w:lvl>
    <w:lvl w:ilvl="7" w:tplc="8D741BE8">
      <w:numFmt w:val="decimal"/>
      <w:lvlText w:val=""/>
      <w:lvlJc w:val="left"/>
    </w:lvl>
    <w:lvl w:ilvl="8" w:tplc="DED8A754">
      <w:numFmt w:val="decimal"/>
      <w:lvlText w:val=""/>
      <w:lvlJc w:val="left"/>
    </w:lvl>
  </w:abstractNum>
  <w:abstractNum w:abstractNumId="8" w15:restartNumberingAfterBreak="0">
    <w:nsid w:val="506B545E"/>
    <w:multiLevelType w:val="hybridMultilevel"/>
    <w:tmpl w:val="9E722A56"/>
    <w:lvl w:ilvl="0" w:tplc="69DA4148">
      <w:start w:val="1"/>
      <w:numFmt w:val="decimal"/>
      <w:lvlText w:val="%1."/>
      <w:lvlJc w:val="left"/>
      <w:pPr>
        <w:ind w:left="720" w:hanging="360"/>
      </w:pPr>
    </w:lvl>
    <w:lvl w:ilvl="1" w:tplc="D5D634E0">
      <w:numFmt w:val="decimal"/>
      <w:lvlText w:val=""/>
      <w:lvlJc w:val="left"/>
    </w:lvl>
    <w:lvl w:ilvl="2" w:tplc="05FA97CA">
      <w:numFmt w:val="decimal"/>
      <w:lvlText w:val=""/>
      <w:lvlJc w:val="left"/>
    </w:lvl>
    <w:lvl w:ilvl="3" w:tplc="AAF400F8">
      <w:numFmt w:val="decimal"/>
      <w:lvlText w:val=""/>
      <w:lvlJc w:val="left"/>
    </w:lvl>
    <w:lvl w:ilvl="4" w:tplc="7632CDCA">
      <w:numFmt w:val="decimal"/>
      <w:lvlText w:val=""/>
      <w:lvlJc w:val="left"/>
    </w:lvl>
    <w:lvl w:ilvl="5" w:tplc="67405C38">
      <w:numFmt w:val="decimal"/>
      <w:lvlText w:val=""/>
      <w:lvlJc w:val="left"/>
    </w:lvl>
    <w:lvl w:ilvl="6" w:tplc="615674EE">
      <w:numFmt w:val="decimal"/>
      <w:lvlText w:val=""/>
      <w:lvlJc w:val="left"/>
    </w:lvl>
    <w:lvl w:ilvl="7" w:tplc="39E69D72">
      <w:numFmt w:val="decimal"/>
      <w:lvlText w:val=""/>
      <w:lvlJc w:val="left"/>
    </w:lvl>
    <w:lvl w:ilvl="8" w:tplc="87F06F3C">
      <w:numFmt w:val="decimal"/>
      <w:lvlText w:val=""/>
      <w:lvlJc w:val="left"/>
    </w:lvl>
  </w:abstractNum>
  <w:abstractNum w:abstractNumId="9" w15:restartNumberingAfterBreak="0">
    <w:nsid w:val="63127B0D"/>
    <w:multiLevelType w:val="hybridMultilevel"/>
    <w:tmpl w:val="09C663C4"/>
    <w:lvl w:ilvl="0" w:tplc="B45A560A">
      <w:start w:val="1"/>
      <w:numFmt w:val="decimal"/>
      <w:lvlText w:val="%1."/>
      <w:lvlJc w:val="left"/>
      <w:pPr>
        <w:ind w:left="720" w:hanging="360"/>
      </w:pPr>
    </w:lvl>
    <w:lvl w:ilvl="1" w:tplc="0F98AE00">
      <w:numFmt w:val="decimal"/>
      <w:lvlText w:val=""/>
      <w:lvlJc w:val="left"/>
    </w:lvl>
    <w:lvl w:ilvl="2" w:tplc="A1E09E3E">
      <w:numFmt w:val="decimal"/>
      <w:lvlText w:val=""/>
      <w:lvlJc w:val="left"/>
    </w:lvl>
    <w:lvl w:ilvl="3" w:tplc="1BC4AF92">
      <w:numFmt w:val="decimal"/>
      <w:lvlText w:val=""/>
      <w:lvlJc w:val="left"/>
    </w:lvl>
    <w:lvl w:ilvl="4" w:tplc="22EE6CF2">
      <w:numFmt w:val="decimal"/>
      <w:lvlText w:val=""/>
      <w:lvlJc w:val="left"/>
    </w:lvl>
    <w:lvl w:ilvl="5" w:tplc="DBAAB774">
      <w:numFmt w:val="decimal"/>
      <w:lvlText w:val=""/>
      <w:lvlJc w:val="left"/>
    </w:lvl>
    <w:lvl w:ilvl="6" w:tplc="95EE37FE">
      <w:numFmt w:val="decimal"/>
      <w:lvlText w:val=""/>
      <w:lvlJc w:val="left"/>
    </w:lvl>
    <w:lvl w:ilvl="7" w:tplc="8964261A">
      <w:numFmt w:val="decimal"/>
      <w:lvlText w:val=""/>
      <w:lvlJc w:val="left"/>
    </w:lvl>
    <w:lvl w:ilvl="8" w:tplc="3D04465A">
      <w:numFmt w:val="decimal"/>
      <w:lvlText w:val=""/>
      <w:lvlJc w:val="left"/>
    </w:lvl>
  </w:abstractNum>
  <w:abstractNum w:abstractNumId="10" w15:restartNumberingAfterBreak="0">
    <w:nsid w:val="66DD7B93"/>
    <w:multiLevelType w:val="hybridMultilevel"/>
    <w:tmpl w:val="1E60AD00"/>
    <w:lvl w:ilvl="0" w:tplc="616CE91A">
      <w:start w:val="1"/>
      <w:numFmt w:val="decimal"/>
      <w:lvlText w:val="%1."/>
      <w:lvlJc w:val="left"/>
      <w:pPr>
        <w:ind w:left="720" w:hanging="360"/>
      </w:pPr>
    </w:lvl>
    <w:lvl w:ilvl="1" w:tplc="4D2E6AC6">
      <w:numFmt w:val="decimal"/>
      <w:lvlText w:val=""/>
      <w:lvlJc w:val="left"/>
    </w:lvl>
    <w:lvl w:ilvl="2" w:tplc="CEA66BCA">
      <w:numFmt w:val="decimal"/>
      <w:lvlText w:val=""/>
      <w:lvlJc w:val="left"/>
    </w:lvl>
    <w:lvl w:ilvl="3" w:tplc="B7A017B2">
      <w:numFmt w:val="decimal"/>
      <w:lvlText w:val=""/>
      <w:lvlJc w:val="left"/>
    </w:lvl>
    <w:lvl w:ilvl="4" w:tplc="75E4125C">
      <w:numFmt w:val="decimal"/>
      <w:lvlText w:val=""/>
      <w:lvlJc w:val="left"/>
    </w:lvl>
    <w:lvl w:ilvl="5" w:tplc="B7663E1E">
      <w:numFmt w:val="decimal"/>
      <w:lvlText w:val=""/>
      <w:lvlJc w:val="left"/>
    </w:lvl>
    <w:lvl w:ilvl="6" w:tplc="5ACCC42E">
      <w:numFmt w:val="decimal"/>
      <w:lvlText w:val=""/>
      <w:lvlJc w:val="left"/>
    </w:lvl>
    <w:lvl w:ilvl="7" w:tplc="B0761D46">
      <w:numFmt w:val="decimal"/>
      <w:lvlText w:val=""/>
      <w:lvlJc w:val="left"/>
    </w:lvl>
    <w:lvl w:ilvl="8" w:tplc="6E124AF0">
      <w:numFmt w:val="decimal"/>
      <w:lvlText w:val=""/>
      <w:lvlJc w:val="left"/>
    </w:lvl>
  </w:abstractNum>
  <w:abstractNum w:abstractNumId="11" w15:restartNumberingAfterBreak="0">
    <w:nsid w:val="7B0364B0"/>
    <w:multiLevelType w:val="hybridMultilevel"/>
    <w:tmpl w:val="F1AE4018"/>
    <w:lvl w:ilvl="0" w:tplc="2EFE4C02">
      <w:start w:val="1"/>
      <w:numFmt w:val="decimal"/>
      <w:lvlText w:val="%1."/>
      <w:lvlJc w:val="left"/>
      <w:pPr>
        <w:ind w:left="720" w:hanging="360"/>
      </w:pPr>
    </w:lvl>
    <w:lvl w:ilvl="1" w:tplc="78CA6B3C">
      <w:numFmt w:val="decimal"/>
      <w:lvlText w:val=""/>
      <w:lvlJc w:val="left"/>
    </w:lvl>
    <w:lvl w:ilvl="2" w:tplc="3D4E41A6">
      <w:numFmt w:val="decimal"/>
      <w:lvlText w:val=""/>
      <w:lvlJc w:val="left"/>
    </w:lvl>
    <w:lvl w:ilvl="3" w:tplc="C8F0379A">
      <w:numFmt w:val="decimal"/>
      <w:lvlText w:val=""/>
      <w:lvlJc w:val="left"/>
    </w:lvl>
    <w:lvl w:ilvl="4" w:tplc="830AA65A">
      <w:numFmt w:val="decimal"/>
      <w:lvlText w:val=""/>
      <w:lvlJc w:val="left"/>
    </w:lvl>
    <w:lvl w:ilvl="5" w:tplc="400209AE">
      <w:numFmt w:val="decimal"/>
      <w:lvlText w:val=""/>
      <w:lvlJc w:val="left"/>
    </w:lvl>
    <w:lvl w:ilvl="6" w:tplc="C724655C">
      <w:numFmt w:val="decimal"/>
      <w:lvlText w:val=""/>
      <w:lvlJc w:val="left"/>
    </w:lvl>
    <w:lvl w:ilvl="7" w:tplc="190090E4">
      <w:numFmt w:val="decimal"/>
      <w:lvlText w:val=""/>
      <w:lvlJc w:val="left"/>
    </w:lvl>
    <w:lvl w:ilvl="8" w:tplc="286AC5B8">
      <w:numFmt w:val="decimal"/>
      <w:lvlText w:val=""/>
      <w:lvlJc w:val="left"/>
    </w:lvl>
  </w:abstractNum>
  <w:num w:numId="1" w16cid:durableId="246158119">
    <w:abstractNumId w:val="0"/>
    <w:lvlOverride w:ilvl="0">
      <w:startOverride w:val="1"/>
    </w:lvlOverride>
  </w:num>
  <w:num w:numId="2" w16cid:durableId="1245535232">
    <w:abstractNumId w:val="4"/>
    <w:lvlOverride w:ilvl="0">
      <w:startOverride w:val="1"/>
    </w:lvlOverride>
  </w:num>
  <w:num w:numId="3" w16cid:durableId="1450705362">
    <w:abstractNumId w:val="1"/>
    <w:lvlOverride w:ilvl="0">
      <w:startOverride w:val="1"/>
    </w:lvlOverride>
  </w:num>
  <w:num w:numId="4" w16cid:durableId="1019350660">
    <w:abstractNumId w:val="10"/>
    <w:lvlOverride w:ilvl="0">
      <w:startOverride w:val="1"/>
    </w:lvlOverride>
  </w:num>
  <w:num w:numId="5" w16cid:durableId="21790556">
    <w:abstractNumId w:val="9"/>
    <w:lvlOverride w:ilvl="0">
      <w:startOverride w:val="1"/>
    </w:lvlOverride>
  </w:num>
  <w:num w:numId="6" w16cid:durableId="1397169702">
    <w:abstractNumId w:val="11"/>
    <w:lvlOverride w:ilvl="0">
      <w:startOverride w:val="1"/>
    </w:lvlOverride>
  </w:num>
  <w:num w:numId="7" w16cid:durableId="1846170374">
    <w:abstractNumId w:val="6"/>
    <w:lvlOverride w:ilvl="0">
      <w:startOverride w:val="1"/>
    </w:lvlOverride>
  </w:num>
  <w:num w:numId="8" w16cid:durableId="2062903287">
    <w:abstractNumId w:val="7"/>
    <w:lvlOverride w:ilvl="0">
      <w:startOverride w:val="1"/>
    </w:lvlOverride>
  </w:num>
  <w:num w:numId="9" w16cid:durableId="512844431">
    <w:abstractNumId w:val="5"/>
    <w:lvlOverride w:ilvl="0">
      <w:startOverride w:val="1"/>
    </w:lvlOverride>
  </w:num>
  <w:num w:numId="10" w16cid:durableId="73192502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ABD"/>
    <w:rsid w:val="00273D7B"/>
    <w:rsid w:val="005C2B7F"/>
    <w:rsid w:val="00A22ABD"/>
    <w:rsid w:val="00A54EDE"/>
    <w:rsid w:val="00DE1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5A9D"/>
  <w15:docId w15:val="{78A41E11-8332-4FEA-BC88-D65565657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F1F1F"/>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2787</Words>
  <Characters>17564</Characters>
  <Application>Microsoft Office Word</Application>
  <DocSecurity>0</DocSecurity>
  <Lines>146</Lines>
  <Paragraphs>40</Paragraphs>
  <ScaleCrop>false</ScaleCrop>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Anleitung Abiturgutachten-Generator</dc:title>
  <dc:creator>Abiturgutachten-Generator</dc:creator>
  <cp:lastModifiedBy>Alessandro Aledo</cp:lastModifiedBy>
  <cp:revision>3</cp:revision>
  <dcterms:created xsi:type="dcterms:W3CDTF">2026-04-27T05:35:00Z</dcterms:created>
  <dcterms:modified xsi:type="dcterms:W3CDTF">2026-04-27T06:23:00Z</dcterms:modified>
</cp:coreProperties>
</file>